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方正小标宋简体" w:cs="Times New Roman"/>
          <w:b w:val="0"/>
          <w:bCs w:val="0"/>
          <w:color w:val="auto"/>
          <w:spacing w:val="0"/>
          <w:kern w:val="0"/>
          <w:sz w:val="40"/>
          <w:szCs w:val="40"/>
        </w:rPr>
      </w:pPr>
      <w:r>
        <w:rPr>
          <w:rFonts w:hint="default" w:ascii="Times New Roman" w:hAnsi="Times New Roman" w:eastAsia="方正小标宋简体" w:cs="Times New Roman"/>
          <w:b w:val="0"/>
          <w:bCs w:val="0"/>
          <w:color w:val="auto"/>
          <w:spacing w:val="0"/>
          <w:kern w:val="0"/>
          <w:sz w:val="40"/>
          <w:szCs w:val="40"/>
          <w:lang w:val="en-US" w:eastAsia="zh-CN"/>
        </w:rPr>
        <w:t>湖州职业技术学院</w:t>
      </w:r>
      <w:r>
        <w:rPr>
          <w:rFonts w:hint="default" w:ascii="Times New Roman" w:hAnsi="Times New Roman" w:eastAsia="方正小标宋简体" w:cs="Times New Roman"/>
          <w:b w:val="0"/>
          <w:bCs w:val="0"/>
          <w:color w:val="auto"/>
          <w:spacing w:val="0"/>
          <w:kern w:val="0"/>
          <w:sz w:val="40"/>
          <w:szCs w:val="40"/>
        </w:rPr>
        <w:t>2023级</w:t>
      </w:r>
      <w:r>
        <w:rPr>
          <w:rFonts w:hint="eastAsia" w:eastAsia="方正小标宋简体" w:cs="Times New Roman"/>
          <w:b w:val="0"/>
          <w:bCs w:val="0"/>
          <w:color w:val="auto"/>
          <w:spacing w:val="0"/>
          <w:kern w:val="0"/>
          <w:sz w:val="40"/>
          <w:szCs w:val="40"/>
          <w:lang w:val="en-US" w:eastAsia="zh-CN"/>
        </w:rPr>
        <w:t>智慧景区开发与管理</w:t>
      </w:r>
      <w:r>
        <w:rPr>
          <w:rFonts w:hint="default" w:ascii="Times New Roman" w:hAnsi="Times New Roman" w:eastAsia="方正小标宋简体" w:cs="Times New Roman"/>
          <w:b w:val="0"/>
          <w:bCs w:val="0"/>
          <w:color w:val="auto"/>
          <w:spacing w:val="0"/>
          <w:kern w:val="0"/>
          <w:sz w:val="40"/>
          <w:szCs w:val="40"/>
        </w:rPr>
        <w:t>专业人才培养方案</w:t>
      </w:r>
    </w:p>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华文仿宋" w:cs="Times New Roman"/>
          <w:color w:val="auto"/>
          <w:spacing w:val="0"/>
          <w:sz w:val="20"/>
          <w:szCs w:val="21"/>
        </w:rPr>
      </w:pPr>
      <w:r>
        <w:rPr>
          <w:rFonts w:hint="default" w:ascii="Times New Roman" w:hAnsi="Times New Roman" w:eastAsia="华文仿宋" w:cs="Times New Roman"/>
          <w:color w:val="auto"/>
          <w:spacing w:val="0"/>
          <w:sz w:val="20"/>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 xml:space="preserve">一、专业名称与代码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专业名称：</w:t>
      </w:r>
      <w:r>
        <w:rPr>
          <w:rFonts w:hint="eastAsia" w:ascii="宋体" w:hAnsi="宋体" w:eastAsia="宋体" w:cs="宋体"/>
          <w:color w:val="auto"/>
          <w:sz w:val="21"/>
          <w:szCs w:val="21"/>
          <w:lang w:val="en-US" w:eastAsia="zh-CN"/>
        </w:rPr>
        <w:t>智慧景区开发与管理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专业代码：</w:t>
      </w:r>
      <w:r>
        <w:rPr>
          <w:rFonts w:hint="eastAsia" w:ascii="宋体" w:hAnsi="宋体" w:eastAsia="宋体" w:cs="宋体"/>
          <w:color w:val="auto"/>
          <w:sz w:val="21"/>
          <w:szCs w:val="21"/>
          <w:lang w:val="en-US" w:eastAsia="zh-CN"/>
        </w:rPr>
        <w:t>540110</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二、入学要求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高中毕业生、中职毕业生或具有同等学历者。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三、修业年限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基本学制3年，学习年限 3-6 年，学分制。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四、职业面向</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（一）职业领域</w:t>
      </w:r>
    </w:p>
    <w:p>
      <w:pPr>
        <w:pStyle w:val="5"/>
        <w:keepNext/>
        <w:jc w:val="center"/>
        <w:rPr>
          <w:rFonts w:hint="default" w:ascii="Times New Roman" w:hAnsi="Times New Roman" w:cs="Times New Roman"/>
          <w:b/>
          <w:bCs/>
          <w:color w:val="auto"/>
          <w:sz w:val="18"/>
          <w:szCs w:val="18"/>
        </w:rPr>
      </w:pPr>
      <w:bookmarkStart w:id="0" w:name="_Ref132097609"/>
      <w:r>
        <w:rPr>
          <w:rFonts w:hint="default" w:ascii="Times New Roman" w:hAnsi="Times New Roman" w:eastAsia="宋体" w:cs="Times New Roman"/>
          <w:b/>
          <w:bCs/>
          <w:color w:val="auto"/>
          <w:sz w:val="18"/>
          <w:szCs w:val="18"/>
        </w:rPr>
        <w:t>表</w:t>
      </w:r>
      <w:r>
        <w:rPr>
          <w:rFonts w:hint="default" w:ascii="Times New Roman" w:hAnsi="Times New Roman" w:eastAsia="宋体" w:cs="Times New Roman"/>
          <w:b/>
          <w:bCs/>
          <w:color w:val="auto"/>
          <w:sz w:val="18"/>
          <w:szCs w:val="18"/>
        </w:rPr>
        <w:fldChar w:fldCharType="begin"/>
      </w:r>
      <w:r>
        <w:rPr>
          <w:rFonts w:hint="default" w:ascii="Times New Roman" w:hAnsi="Times New Roman" w:eastAsia="宋体" w:cs="Times New Roman"/>
          <w:b/>
          <w:bCs/>
          <w:color w:val="auto"/>
          <w:sz w:val="18"/>
          <w:szCs w:val="18"/>
        </w:rPr>
        <w:instrText xml:space="preserve"> SEQ 表 \* ARABIC </w:instrText>
      </w:r>
      <w:r>
        <w:rPr>
          <w:rFonts w:hint="default" w:ascii="Times New Roman" w:hAnsi="Times New Roman" w:eastAsia="宋体" w:cs="Times New Roman"/>
          <w:b/>
          <w:bCs/>
          <w:color w:val="auto"/>
          <w:sz w:val="18"/>
          <w:szCs w:val="18"/>
        </w:rPr>
        <w:fldChar w:fldCharType="separate"/>
      </w:r>
      <w:r>
        <w:rPr>
          <w:rFonts w:hint="default" w:ascii="Times New Roman" w:hAnsi="Times New Roman" w:eastAsia="宋体" w:cs="Times New Roman"/>
          <w:b/>
          <w:bCs/>
          <w:color w:val="auto"/>
          <w:sz w:val="18"/>
          <w:szCs w:val="18"/>
        </w:rPr>
        <w:t>1</w:t>
      </w:r>
      <w:r>
        <w:rPr>
          <w:rFonts w:hint="default" w:ascii="Times New Roman" w:hAnsi="Times New Roman" w:eastAsia="宋体" w:cs="Times New Roman"/>
          <w:b/>
          <w:bCs/>
          <w:color w:val="auto"/>
          <w:sz w:val="18"/>
          <w:szCs w:val="18"/>
        </w:rPr>
        <w:fldChar w:fldCharType="end"/>
      </w:r>
      <w:bookmarkEnd w:id="0"/>
      <w:r>
        <w:rPr>
          <w:rFonts w:hint="default" w:ascii="Times New Roman" w:hAnsi="Times New Roman" w:eastAsia="宋体" w:cs="Times New Roman"/>
          <w:b/>
          <w:bCs/>
          <w:color w:val="auto"/>
          <w:sz w:val="18"/>
          <w:szCs w:val="18"/>
        </w:rPr>
        <w:t xml:space="preserve"> 本专业职业面向</w:t>
      </w:r>
    </w:p>
    <w:tbl>
      <w:tblPr>
        <w:tblStyle w:val="8"/>
        <w:tblpPr w:leftFromText="180" w:rightFromText="180" w:vertAnchor="text" w:horzAnchor="margin" w:tblpXSpec="center" w:tblpY="6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82"/>
        <w:gridCol w:w="1130"/>
        <w:gridCol w:w="1092"/>
        <w:gridCol w:w="1476"/>
        <w:gridCol w:w="1572"/>
        <w:gridCol w:w="1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exact"/>
          <w:jc w:val="center"/>
        </w:trPr>
        <w:tc>
          <w:tcPr>
            <w:tcW w:w="1504" w:type="dxa"/>
            <w:tcBorders>
              <w:tl2br w:val="nil"/>
              <w:tr2bl w:val="nil"/>
            </w:tcBorders>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所属专业大类（代码）</w:t>
            </w:r>
          </w:p>
        </w:tc>
        <w:tc>
          <w:tcPr>
            <w:tcW w:w="1134" w:type="dxa"/>
            <w:tcBorders>
              <w:tl2br w:val="nil"/>
              <w:tr2bl w:val="nil"/>
            </w:tcBorders>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所属专业类</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（代码）</w:t>
            </w:r>
          </w:p>
        </w:tc>
        <w:tc>
          <w:tcPr>
            <w:tcW w:w="1134" w:type="dxa"/>
            <w:tcBorders>
              <w:tl2br w:val="nil"/>
              <w:tr2bl w:val="nil"/>
            </w:tcBorders>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对应行业（代码）</w:t>
            </w:r>
          </w:p>
        </w:tc>
        <w:tc>
          <w:tcPr>
            <w:tcW w:w="1134" w:type="dxa"/>
            <w:tcBorders>
              <w:tl2br w:val="nil"/>
              <w:tr2bl w:val="nil"/>
            </w:tcBorders>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主要职业类别（代码）</w:t>
            </w:r>
          </w:p>
        </w:tc>
        <w:tc>
          <w:tcPr>
            <w:tcW w:w="1842" w:type="dxa"/>
            <w:tcBorders>
              <w:tl2br w:val="nil"/>
              <w:tr2bl w:val="nil"/>
            </w:tcBorders>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主要岗位类别（或技术领域）</w:t>
            </w:r>
          </w:p>
        </w:tc>
        <w:tc>
          <w:tcPr>
            <w:tcW w:w="2270" w:type="dxa"/>
            <w:tcBorders>
              <w:tl2br w:val="nil"/>
              <w:tr2bl w:val="nil"/>
            </w:tcBorders>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职业资格证书或技能等级证书举例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1" w:hRule="exact"/>
          <w:jc w:val="center"/>
        </w:trPr>
        <w:tc>
          <w:tcPr>
            <w:tcW w:w="15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18"/>
                <w:szCs w:val="18"/>
                <w:lang w:val="en-US" w:eastAsia="zh-CN"/>
              </w:rPr>
            </w:pPr>
            <w:r>
              <w:rPr>
                <w:rFonts w:hint="eastAsia" w:ascii="宋体" w:hAnsi="宋体" w:eastAsia="宋体" w:cs="宋体"/>
                <w:bCs/>
                <w:color w:val="auto"/>
                <w:kern w:val="0"/>
                <w:sz w:val="18"/>
                <w:szCs w:val="18"/>
                <w:lang w:val="en-US" w:eastAsia="zh-CN"/>
              </w:rPr>
              <w:t>旅游大类</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kern w:val="0"/>
                <w:sz w:val="18"/>
                <w:szCs w:val="18"/>
              </w:rPr>
            </w:pPr>
            <w:r>
              <w:rPr>
                <w:rFonts w:hint="eastAsia" w:ascii="宋体" w:hAnsi="宋体" w:eastAsia="宋体" w:cs="宋体"/>
                <w:bCs/>
                <w:color w:val="auto"/>
                <w:kern w:val="0"/>
                <w:sz w:val="18"/>
                <w:szCs w:val="18"/>
                <w:lang w:val="en-US" w:eastAsia="zh-CN"/>
              </w:rPr>
              <w:t>（6401）</w:t>
            </w:r>
          </w:p>
        </w:tc>
        <w:tc>
          <w:tcPr>
            <w:tcW w:w="11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kern w:val="0"/>
                <w:sz w:val="18"/>
                <w:szCs w:val="18"/>
              </w:rPr>
            </w:pPr>
            <w:r>
              <w:rPr>
                <w:rFonts w:hint="eastAsia" w:ascii="宋体" w:hAnsi="宋体" w:eastAsia="宋体" w:cs="宋体"/>
                <w:bCs/>
                <w:color w:val="auto"/>
                <w:kern w:val="0"/>
                <w:sz w:val="18"/>
                <w:szCs w:val="18"/>
                <w:lang w:val="en-US" w:eastAsia="zh-CN"/>
              </w:rPr>
              <w:t>旅游管理专业（540101）</w:t>
            </w:r>
          </w:p>
        </w:tc>
        <w:tc>
          <w:tcPr>
            <w:tcW w:w="11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kern w:val="0"/>
                <w:sz w:val="18"/>
                <w:szCs w:val="18"/>
              </w:rPr>
            </w:pPr>
            <w:r>
              <w:rPr>
                <w:rFonts w:hint="eastAsia" w:ascii="宋体" w:hAnsi="宋体" w:eastAsia="宋体" w:cs="宋体"/>
                <w:bCs/>
                <w:color w:val="auto"/>
                <w:kern w:val="0"/>
                <w:sz w:val="18"/>
                <w:szCs w:val="18"/>
                <w:lang w:val="en-US" w:eastAsia="zh-CN"/>
              </w:rPr>
              <w:t>旅游管理服务（7291）游览景区管理（786）</w:t>
            </w:r>
          </w:p>
        </w:tc>
        <w:tc>
          <w:tcPr>
            <w:tcW w:w="11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color w:val="auto"/>
                <w:kern w:val="0"/>
                <w:sz w:val="18"/>
                <w:szCs w:val="18"/>
                <w:lang w:val="en-US" w:eastAsia="zh-CN"/>
              </w:rPr>
            </w:pPr>
            <w:r>
              <w:rPr>
                <w:rFonts w:hint="eastAsia" w:ascii="宋体" w:hAnsi="宋体" w:eastAsia="宋体" w:cs="宋体"/>
                <w:bCs/>
                <w:color w:val="auto"/>
                <w:kern w:val="0"/>
                <w:sz w:val="18"/>
                <w:szCs w:val="18"/>
                <w:lang w:val="en-US" w:eastAsia="zh-CN"/>
              </w:rPr>
              <w:t>景区运营管理师</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Cs/>
                <w:color w:val="auto"/>
                <w:kern w:val="0"/>
                <w:sz w:val="18"/>
                <w:szCs w:val="18"/>
                <w:lang w:val="en-US" w:eastAsia="zh-CN"/>
              </w:rPr>
            </w:pPr>
            <w:r>
              <w:rPr>
                <w:rFonts w:hint="eastAsia" w:ascii="宋体" w:hAnsi="宋体" w:eastAsia="宋体" w:cs="宋体"/>
                <w:bCs/>
                <w:color w:val="auto"/>
                <w:kern w:val="0"/>
                <w:sz w:val="18"/>
                <w:szCs w:val="18"/>
                <w:lang w:val="en-US" w:eastAsia="zh-CN"/>
              </w:rPr>
              <w:t>（4-07-04-07）</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color w:val="auto"/>
                <w:kern w:val="0"/>
                <w:sz w:val="18"/>
                <w:szCs w:val="18"/>
                <w:lang w:val="en-US" w:eastAsia="zh-CN"/>
              </w:rPr>
            </w:pPr>
            <w:r>
              <w:rPr>
                <w:rFonts w:hint="eastAsia" w:ascii="宋体" w:hAnsi="宋体" w:eastAsia="宋体" w:cs="宋体"/>
                <w:bCs/>
                <w:color w:val="auto"/>
                <w:kern w:val="0"/>
                <w:sz w:val="18"/>
                <w:szCs w:val="18"/>
                <w:lang w:val="en-US" w:eastAsia="zh-CN"/>
              </w:rPr>
              <w:t>导游（4-07-04-01）</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color w:val="auto"/>
                <w:kern w:val="0"/>
                <w:sz w:val="18"/>
                <w:szCs w:val="18"/>
                <w:lang w:val="en-US" w:eastAsia="zh-CN"/>
              </w:rPr>
            </w:pPr>
            <w:r>
              <w:rPr>
                <w:rFonts w:hint="eastAsia" w:ascii="宋体" w:hAnsi="宋体" w:eastAsia="宋体" w:cs="宋体"/>
                <w:bCs/>
                <w:color w:val="auto"/>
                <w:kern w:val="0"/>
                <w:sz w:val="18"/>
                <w:szCs w:val="18"/>
                <w:lang w:val="en-US" w:eastAsia="zh-CN"/>
              </w:rPr>
              <w:t>旅游咨询员</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Cs/>
                <w:color w:val="auto"/>
                <w:kern w:val="0"/>
                <w:sz w:val="18"/>
                <w:szCs w:val="18"/>
                <w:lang w:val="en-US" w:eastAsia="zh-CN"/>
              </w:rPr>
            </w:pPr>
            <w:r>
              <w:rPr>
                <w:rFonts w:hint="eastAsia" w:ascii="宋体" w:hAnsi="宋体" w:eastAsia="宋体" w:cs="宋体"/>
                <w:bCs/>
                <w:color w:val="auto"/>
                <w:kern w:val="0"/>
                <w:sz w:val="18"/>
                <w:szCs w:val="18"/>
                <w:lang w:val="en-US" w:eastAsia="zh-CN"/>
              </w:rPr>
              <w:t>（4-07-04-04）</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color w:val="auto"/>
                <w:kern w:val="0"/>
                <w:sz w:val="18"/>
                <w:szCs w:val="18"/>
                <w:lang w:val="en-US" w:eastAsia="zh-CN"/>
              </w:rPr>
            </w:pPr>
            <w:r>
              <w:rPr>
                <w:rFonts w:hint="eastAsia" w:ascii="宋体" w:hAnsi="宋体" w:eastAsia="宋体" w:cs="宋体"/>
                <w:bCs/>
                <w:color w:val="auto"/>
                <w:kern w:val="0"/>
                <w:sz w:val="18"/>
                <w:szCs w:val="18"/>
                <w:lang w:val="en-US" w:eastAsia="zh-CN"/>
              </w:rPr>
              <w:t>公共游览场所服务员</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color w:val="auto"/>
                <w:kern w:val="0"/>
                <w:sz w:val="18"/>
                <w:szCs w:val="18"/>
                <w:lang w:val="en-US" w:eastAsia="zh-CN"/>
              </w:rPr>
            </w:pPr>
            <w:r>
              <w:rPr>
                <w:rFonts w:hint="eastAsia" w:ascii="宋体" w:hAnsi="宋体" w:eastAsia="宋体" w:cs="宋体"/>
                <w:bCs/>
                <w:color w:val="auto"/>
                <w:kern w:val="0"/>
                <w:sz w:val="18"/>
                <w:szCs w:val="18"/>
                <w:lang w:val="en-US" w:eastAsia="zh-CN"/>
              </w:rPr>
              <w:t>（4-07-04-05）</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color w:val="auto"/>
                <w:kern w:val="0"/>
                <w:sz w:val="18"/>
                <w:szCs w:val="18"/>
                <w:lang w:val="en-US" w:eastAsia="zh-CN"/>
              </w:rPr>
            </w:pPr>
            <w:r>
              <w:rPr>
                <w:rFonts w:hint="eastAsia" w:ascii="宋体" w:hAnsi="宋体" w:eastAsia="宋体" w:cs="宋体"/>
                <w:bCs/>
                <w:color w:val="auto"/>
                <w:kern w:val="0"/>
                <w:sz w:val="18"/>
                <w:szCs w:val="18"/>
                <w:lang w:val="en-US" w:eastAsia="zh-CN"/>
              </w:rPr>
              <w:t>讲解员</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Cs/>
                <w:color w:val="auto"/>
                <w:kern w:val="0"/>
                <w:sz w:val="18"/>
                <w:szCs w:val="18"/>
                <w:lang w:val="en-US" w:eastAsia="zh-CN"/>
              </w:rPr>
            </w:pPr>
            <w:r>
              <w:rPr>
                <w:rFonts w:hint="eastAsia" w:ascii="宋体" w:hAnsi="宋体" w:eastAsia="宋体" w:cs="宋体"/>
                <w:bCs/>
                <w:color w:val="auto"/>
                <w:kern w:val="0"/>
                <w:sz w:val="18"/>
                <w:szCs w:val="18"/>
                <w:lang w:val="en-US" w:eastAsia="zh-CN"/>
              </w:rPr>
              <w:t>（4-13-01-03）</w:t>
            </w:r>
          </w:p>
        </w:tc>
        <w:tc>
          <w:tcPr>
            <w:tcW w:w="18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kern w:val="0"/>
                <w:sz w:val="18"/>
                <w:szCs w:val="18"/>
              </w:rPr>
            </w:pPr>
            <w:r>
              <w:rPr>
                <w:rFonts w:hint="eastAsia" w:ascii="宋体" w:hAnsi="宋体" w:cs="宋体"/>
                <w:bCs/>
                <w:color w:val="auto"/>
                <w:kern w:val="0"/>
                <w:sz w:val="18"/>
                <w:szCs w:val="18"/>
                <w:lang w:val="en-US" w:eastAsia="zh-CN"/>
              </w:rPr>
              <w:t>景区运营管理师、</w:t>
            </w:r>
            <w:r>
              <w:rPr>
                <w:rFonts w:hint="eastAsia" w:ascii="宋体" w:hAnsi="宋体" w:eastAsia="宋体" w:cs="宋体"/>
                <w:bCs/>
                <w:color w:val="auto"/>
                <w:kern w:val="0"/>
                <w:sz w:val="18"/>
                <w:szCs w:val="18"/>
                <w:lang w:val="en-US" w:eastAsia="zh-CN"/>
              </w:rPr>
              <w:t>导游、旅游咨询员、公共游览场所服务员、休闲农业服务员、讲解员、风景园林工程技术人员、电子商务师</w:t>
            </w:r>
          </w:p>
        </w:tc>
        <w:tc>
          <w:tcPr>
            <w:tcW w:w="22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18"/>
                <w:szCs w:val="18"/>
                <w:lang w:val="en-US" w:eastAsia="zh-CN"/>
              </w:rPr>
            </w:pPr>
            <w:r>
              <w:rPr>
                <w:rFonts w:hint="eastAsia" w:ascii="宋体" w:hAnsi="宋体" w:eastAsia="宋体" w:cs="宋体"/>
                <w:bCs/>
                <w:color w:val="auto"/>
                <w:kern w:val="0"/>
                <w:sz w:val="18"/>
                <w:szCs w:val="18"/>
                <w:lang w:val="en-US" w:eastAsia="zh-CN"/>
              </w:rPr>
              <w:t>全国导游员资格证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18"/>
                <w:szCs w:val="18"/>
                <w:lang w:val="en-US" w:eastAsia="zh-CN"/>
              </w:rPr>
            </w:pPr>
            <w:r>
              <w:rPr>
                <w:rFonts w:hint="eastAsia" w:ascii="宋体" w:hAnsi="宋体" w:eastAsia="宋体" w:cs="宋体"/>
                <w:bCs/>
                <w:color w:val="auto"/>
                <w:kern w:val="0"/>
                <w:sz w:val="18"/>
                <w:szCs w:val="18"/>
                <w:lang w:val="en-US" w:eastAsia="zh-CN"/>
              </w:rPr>
              <w:t>旅游大数据分析职业技能等级证书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18"/>
                <w:szCs w:val="18"/>
                <w:lang w:val="en-US" w:eastAsia="zh-CN"/>
              </w:rPr>
            </w:pPr>
            <w:r>
              <w:rPr>
                <w:rFonts w:hint="eastAsia" w:ascii="宋体" w:hAnsi="宋体" w:eastAsia="宋体" w:cs="宋体"/>
                <w:bCs/>
                <w:color w:val="auto"/>
                <w:kern w:val="0"/>
                <w:sz w:val="18"/>
                <w:szCs w:val="18"/>
                <w:lang w:val="en-US" w:eastAsia="zh-CN"/>
              </w:rPr>
              <w:t>研学旅行策划与管理证书</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kern w:val="0"/>
                <w:sz w:val="18"/>
                <w:szCs w:val="18"/>
              </w:rPr>
            </w:pPr>
            <w:r>
              <w:rPr>
                <w:rFonts w:hint="eastAsia" w:ascii="宋体" w:hAnsi="宋体" w:eastAsia="宋体" w:cs="宋体"/>
                <w:bCs/>
                <w:color w:val="auto"/>
                <w:kern w:val="0"/>
                <w:sz w:val="18"/>
                <w:szCs w:val="18"/>
                <w:lang w:val="en-US" w:eastAsia="zh-CN"/>
              </w:rPr>
              <w:t>普通话等级证书</w:t>
            </w:r>
          </w:p>
        </w:tc>
      </w:tr>
    </w:tbl>
    <w:p>
      <w:pPr>
        <w:spacing w:line="400" w:lineRule="exact"/>
        <w:ind w:firstLine="422" w:firstLineChars="200"/>
        <w:jc w:val="left"/>
        <w:rPr>
          <w:rFonts w:hint="default" w:ascii="Times New Roman" w:hAnsi="Times New Roman" w:cs="Times New Roman"/>
          <w:b/>
          <w:bCs/>
          <w:color w:val="auto"/>
          <w:kern w:val="0"/>
          <w:szCs w:val="21"/>
        </w:rPr>
      </w:pPr>
    </w:p>
    <w:p>
      <w:pPr>
        <w:spacing w:line="400" w:lineRule="exact"/>
        <w:ind w:firstLine="422" w:firstLineChars="200"/>
        <w:jc w:val="left"/>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（二）工作岗位</w:t>
      </w:r>
    </w:p>
    <w:p>
      <w:pPr>
        <w:pStyle w:val="5"/>
        <w:keepNext/>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 xml:space="preserve">表 </w:t>
      </w:r>
      <w:r>
        <w:rPr>
          <w:rFonts w:hint="default" w:ascii="Times New Roman" w:hAnsi="Times New Roman" w:eastAsia="宋体" w:cs="Times New Roman"/>
          <w:b/>
          <w:bCs/>
          <w:color w:val="auto"/>
          <w:sz w:val="18"/>
          <w:szCs w:val="18"/>
        </w:rPr>
        <w:fldChar w:fldCharType="begin"/>
      </w:r>
      <w:r>
        <w:rPr>
          <w:rFonts w:hint="default" w:ascii="Times New Roman" w:hAnsi="Times New Roman" w:eastAsia="宋体" w:cs="Times New Roman"/>
          <w:b/>
          <w:bCs/>
          <w:color w:val="auto"/>
          <w:sz w:val="18"/>
          <w:szCs w:val="18"/>
        </w:rPr>
        <w:instrText xml:space="preserve"> SEQ 表 \* ARABIC </w:instrText>
      </w:r>
      <w:r>
        <w:rPr>
          <w:rFonts w:hint="default" w:ascii="Times New Roman" w:hAnsi="Times New Roman" w:eastAsia="宋体" w:cs="Times New Roman"/>
          <w:b/>
          <w:bCs/>
          <w:color w:val="auto"/>
          <w:sz w:val="18"/>
          <w:szCs w:val="18"/>
        </w:rPr>
        <w:fldChar w:fldCharType="separate"/>
      </w:r>
      <w:r>
        <w:rPr>
          <w:rFonts w:hint="default" w:ascii="Times New Roman" w:hAnsi="Times New Roman" w:eastAsia="宋体" w:cs="Times New Roman"/>
          <w:b/>
          <w:bCs/>
          <w:color w:val="auto"/>
          <w:sz w:val="18"/>
          <w:szCs w:val="18"/>
        </w:rPr>
        <w:t>2</w:t>
      </w:r>
      <w:r>
        <w:rPr>
          <w:rFonts w:hint="default" w:ascii="Times New Roman" w:hAnsi="Times New Roman" w:eastAsia="宋体" w:cs="Times New Roman"/>
          <w:b/>
          <w:bCs/>
          <w:color w:val="auto"/>
          <w:sz w:val="18"/>
          <w:szCs w:val="18"/>
        </w:rPr>
        <w:fldChar w:fldCharType="end"/>
      </w:r>
      <w:r>
        <w:rPr>
          <w:rFonts w:hint="default" w:ascii="Times New Roman" w:hAnsi="Times New Roman" w:eastAsia="宋体" w:cs="Times New Roman"/>
          <w:b/>
          <w:bCs/>
          <w:color w:val="auto"/>
          <w:sz w:val="18"/>
          <w:szCs w:val="18"/>
        </w:rPr>
        <w:t xml:space="preserve"> 本专业工作岗位</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9"/>
        <w:gridCol w:w="2564"/>
        <w:gridCol w:w="5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9" w:type="dxa"/>
            <w:tcBorders>
              <w:tl2br w:val="nil"/>
              <w:tr2bl w:val="nil"/>
            </w:tcBorders>
            <w:shd w:val="clear" w:color="auto" w:fill="F1F1F1" w:themeFill="background1" w:themeFillShade="F2"/>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序号</w:t>
            </w:r>
          </w:p>
        </w:tc>
        <w:tc>
          <w:tcPr>
            <w:tcW w:w="2564" w:type="dxa"/>
            <w:tcBorders>
              <w:tl2br w:val="nil"/>
              <w:tr2bl w:val="nil"/>
            </w:tcBorders>
            <w:shd w:val="clear" w:color="auto" w:fill="F1F1F1" w:themeFill="background1" w:themeFillShade="F2"/>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岗位名称</w:t>
            </w:r>
          </w:p>
        </w:tc>
        <w:tc>
          <w:tcPr>
            <w:tcW w:w="5149" w:type="dxa"/>
            <w:tcBorders>
              <w:tl2br w:val="nil"/>
              <w:tr2bl w:val="nil"/>
            </w:tcBorders>
            <w:shd w:val="clear" w:color="auto" w:fill="F1F1F1" w:themeFill="background1" w:themeFillShade="F2"/>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256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景区运营管理师</w:t>
            </w:r>
          </w:p>
        </w:tc>
        <w:tc>
          <w:tcPr>
            <w:tcW w:w="5149"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从事景区安全管理、营销推广、数字化管理、生态环境保护等的人员。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w:t>
            </w:r>
          </w:p>
        </w:tc>
        <w:tc>
          <w:tcPr>
            <w:tcW w:w="256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导游</w:t>
            </w:r>
          </w:p>
        </w:tc>
        <w:tc>
          <w:tcPr>
            <w:tcW w:w="514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从事旅游向导、讲解及旅途服务工作的人员。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3</w:t>
            </w:r>
          </w:p>
        </w:tc>
        <w:tc>
          <w:tcPr>
            <w:tcW w:w="256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旅游咨询员</w:t>
            </w:r>
          </w:p>
        </w:tc>
        <w:tc>
          <w:tcPr>
            <w:tcW w:w="5149"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在旅游咨询服务场所，提供公益性旅游信息服务工作的人员。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4</w:t>
            </w:r>
          </w:p>
        </w:tc>
        <w:tc>
          <w:tcPr>
            <w:tcW w:w="256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公共游览场所服务员</w:t>
            </w:r>
          </w:p>
        </w:tc>
        <w:tc>
          <w:tcPr>
            <w:tcW w:w="5149"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kern w:val="2"/>
                <w:sz w:val="18"/>
                <w:szCs w:val="18"/>
                <w:lang w:val="en-US" w:eastAsia="zh-CN" w:bidi="ar-SA"/>
              </w:rPr>
              <w:t>在公园、影剧院、礼堂、博物馆、展览馆等公共游览场所，为顾客提供综合服务的人员。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256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讲解员</w:t>
            </w:r>
          </w:p>
        </w:tc>
        <w:tc>
          <w:tcPr>
            <w:tcW w:w="5149"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kern w:val="2"/>
                <w:sz w:val="18"/>
                <w:szCs w:val="18"/>
                <w:lang w:val="en-US" w:eastAsia="zh-CN" w:bidi="ar-SA"/>
              </w:rPr>
              <w:t>在展览与游览场所，从事接待、解说、引导等工作的人员。</w:t>
            </w:r>
          </w:p>
        </w:tc>
      </w:tr>
    </w:tbl>
    <w:p>
      <w:pPr>
        <w:spacing w:line="400" w:lineRule="exact"/>
        <w:ind w:firstLine="422" w:firstLineChars="200"/>
        <w:jc w:val="left"/>
        <w:rPr>
          <w:rFonts w:hint="default" w:ascii="Times New Roman" w:hAnsi="Times New Roman" w:cs="Times New Roman"/>
          <w:b/>
          <w:bCs/>
          <w:color w:val="auto"/>
          <w:kern w:val="0"/>
          <w:szCs w:val="21"/>
        </w:rPr>
      </w:pPr>
    </w:p>
    <w:p>
      <w:pPr>
        <w:spacing w:line="400" w:lineRule="exact"/>
        <w:ind w:firstLine="422" w:firstLineChars="200"/>
        <w:jc w:val="left"/>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（三）</w:t>
      </w:r>
      <w:bookmarkStart w:id="1" w:name="_Hlk132978461"/>
      <w:r>
        <w:rPr>
          <w:rFonts w:hint="default" w:ascii="Times New Roman" w:hAnsi="Times New Roman" w:cs="Times New Roman"/>
          <w:b/>
          <w:bCs/>
          <w:color w:val="auto"/>
          <w:kern w:val="0"/>
          <w:szCs w:val="21"/>
        </w:rPr>
        <w:t>工作岗位与职业能力分析表</w:t>
      </w:r>
      <w:bookmarkEnd w:id="1"/>
    </w:p>
    <w:p>
      <w:pPr>
        <w:pStyle w:val="5"/>
        <w:keepNext/>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表</w:t>
      </w:r>
      <w:r>
        <w:rPr>
          <w:rFonts w:hint="default" w:ascii="Times New Roman" w:hAnsi="Times New Roman" w:eastAsia="宋体" w:cs="Times New Roman"/>
          <w:b/>
          <w:bCs/>
          <w:color w:val="auto"/>
          <w:sz w:val="18"/>
          <w:szCs w:val="18"/>
        </w:rPr>
        <w:fldChar w:fldCharType="begin"/>
      </w:r>
      <w:r>
        <w:rPr>
          <w:rFonts w:hint="default" w:ascii="Times New Roman" w:hAnsi="Times New Roman" w:eastAsia="宋体" w:cs="Times New Roman"/>
          <w:b/>
          <w:bCs/>
          <w:color w:val="auto"/>
          <w:sz w:val="18"/>
          <w:szCs w:val="18"/>
        </w:rPr>
        <w:instrText xml:space="preserve"> SEQ 表 \* ARABIC </w:instrText>
      </w:r>
      <w:r>
        <w:rPr>
          <w:rFonts w:hint="default" w:ascii="Times New Roman" w:hAnsi="Times New Roman" w:eastAsia="宋体" w:cs="Times New Roman"/>
          <w:b/>
          <w:bCs/>
          <w:color w:val="auto"/>
          <w:sz w:val="18"/>
          <w:szCs w:val="18"/>
        </w:rPr>
        <w:fldChar w:fldCharType="separate"/>
      </w:r>
      <w:r>
        <w:rPr>
          <w:rFonts w:hint="default" w:ascii="Times New Roman" w:hAnsi="Times New Roman" w:eastAsia="宋体" w:cs="Times New Roman"/>
          <w:b/>
          <w:bCs/>
          <w:color w:val="auto"/>
          <w:sz w:val="18"/>
          <w:szCs w:val="18"/>
        </w:rPr>
        <w:t>3</w:t>
      </w:r>
      <w:r>
        <w:rPr>
          <w:rFonts w:hint="default" w:ascii="Times New Roman" w:hAnsi="Times New Roman" w:eastAsia="宋体" w:cs="Times New Roman"/>
          <w:b/>
          <w:bCs/>
          <w:color w:val="auto"/>
          <w:sz w:val="18"/>
          <w:szCs w:val="18"/>
        </w:rPr>
        <w:fldChar w:fldCharType="end"/>
      </w:r>
      <w:r>
        <w:rPr>
          <w:rFonts w:hint="default" w:ascii="Times New Roman" w:hAnsi="Times New Roman" w:eastAsia="宋体" w:cs="Times New Roman"/>
          <w:b/>
          <w:bCs/>
          <w:color w:val="auto"/>
          <w:sz w:val="18"/>
          <w:szCs w:val="18"/>
        </w:rPr>
        <w:t xml:space="preserve"> 工作岗位与职业能力分析表</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5"/>
        <w:gridCol w:w="1099"/>
        <w:gridCol w:w="1383"/>
        <w:gridCol w:w="3693"/>
        <w:gridCol w:w="1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5" w:type="dxa"/>
            <w:tcBorders>
              <w:tl2br w:val="nil"/>
              <w:tr2bl w:val="nil"/>
            </w:tcBorders>
            <w:shd w:val="clear" w:color="auto" w:fill="F1F1F1" w:themeFill="background1" w:themeFillShade="F2"/>
          </w:tcPr>
          <w:p>
            <w:pPr>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序号</w:t>
            </w:r>
          </w:p>
        </w:tc>
        <w:tc>
          <w:tcPr>
            <w:tcW w:w="1099" w:type="dxa"/>
            <w:tcBorders>
              <w:tl2br w:val="nil"/>
              <w:tr2bl w:val="nil"/>
            </w:tcBorders>
            <w:shd w:val="clear" w:color="auto" w:fill="F1F1F1" w:themeFill="background1" w:themeFillShade="F2"/>
          </w:tcPr>
          <w:p>
            <w:pPr>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工作岗位</w:t>
            </w:r>
          </w:p>
        </w:tc>
        <w:tc>
          <w:tcPr>
            <w:tcW w:w="1383" w:type="dxa"/>
            <w:tcBorders>
              <w:tl2br w:val="nil"/>
              <w:tr2bl w:val="nil"/>
            </w:tcBorders>
            <w:shd w:val="clear" w:color="auto" w:fill="F1F1F1" w:themeFill="background1" w:themeFillShade="F2"/>
          </w:tcPr>
          <w:p>
            <w:pPr>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工作任务</w:t>
            </w:r>
          </w:p>
        </w:tc>
        <w:tc>
          <w:tcPr>
            <w:tcW w:w="3693" w:type="dxa"/>
            <w:tcBorders>
              <w:tl2br w:val="nil"/>
              <w:tr2bl w:val="nil"/>
            </w:tcBorders>
            <w:shd w:val="clear" w:color="auto" w:fill="F1F1F1" w:themeFill="background1" w:themeFillShade="F2"/>
          </w:tcPr>
          <w:p>
            <w:pPr>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职业能力</w:t>
            </w:r>
          </w:p>
        </w:tc>
        <w:tc>
          <w:tcPr>
            <w:tcW w:w="1722" w:type="dxa"/>
            <w:tcBorders>
              <w:tl2br w:val="nil"/>
              <w:tr2bl w:val="nil"/>
            </w:tcBorders>
            <w:shd w:val="clear" w:color="auto" w:fill="F1F1F1" w:themeFill="background1" w:themeFillShade="F2"/>
          </w:tcPr>
          <w:p>
            <w:pPr>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相关课程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109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景区运营管理师</w:t>
            </w:r>
          </w:p>
        </w:tc>
        <w:tc>
          <w:tcPr>
            <w:tcW w:w="1383" w:type="dxa"/>
            <w:tcBorders>
              <w:tl2br w:val="nil"/>
              <w:tr2bl w:val="nil"/>
            </w:tcBorders>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ind w:left="0" w:firstLine="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旅游景区活动策划</w:t>
            </w:r>
          </w:p>
          <w:p>
            <w:pPr>
              <w:keepNext w:val="0"/>
              <w:keepLines w:val="0"/>
              <w:pageBreakBefore w:val="0"/>
              <w:widowControl w:val="0"/>
              <w:numPr>
                <w:ilvl w:val="0"/>
                <w:numId w:val="1"/>
              </w:numPr>
              <w:kinsoku/>
              <w:wordWrap/>
              <w:overflowPunct/>
              <w:topLinePunct w:val="0"/>
              <w:autoSpaceDE/>
              <w:autoSpaceDN/>
              <w:bidi w:val="0"/>
              <w:adjustRightInd/>
              <w:snapToGrid/>
              <w:ind w:left="0" w:firstLine="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旅游景区营销推广</w:t>
            </w:r>
          </w:p>
          <w:p>
            <w:pPr>
              <w:keepNext w:val="0"/>
              <w:keepLines w:val="0"/>
              <w:pageBreakBefore w:val="0"/>
              <w:widowControl w:val="0"/>
              <w:numPr>
                <w:ilvl w:val="0"/>
                <w:numId w:val="1"/>
              </w:numPr>
              <w:kinsoku/>
              <w:wordWrap/>
              <w:overflowPunct/>
              <w:topLinePunct w:val="0"/>
              <w:autoSpaceDE/>
              <w:autoSpaceDN/>
              <w:bidi w:val="0"/>
              <w:adjustRightInd/>
              <w:snapToGrid/>
              <w:ind w:left="0" w:firstLine="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旅游景区智慧技术场景应用与管理</w:t>
            </w:r>
          </w:p>
        </w:tc>
        <w:tc>
          <w:tcPr>
            <w:tcW w:w="3693"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1、制定景区运营管理方案，并指导实施；</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2、进行景区营销推广及周边衍生产品开发；</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3、提供智慧景区技术支持及数字化管理；</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4、进行景区安全管理；</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color w:val="auto"/>
                <w:kern w:val="0"/>
                <w:sz w:val="18"/>
                <w:szCs w:val="18"/>
              </w:rPr>
            </w:pPr>
            <w:r>
              <w:rPr>
                <w:rFonts w:hint="eastAsia" w:ascii="宋体" w:hAnsi="宋体" w:eastAsia="宋体" w:cs="宋体"/>
                <w:color w:val="auto"/>
                <w:sz w:val="18"/>
                <w:szCs w:val="18"/>
                <w:lang w:val="en-US" w:eastAsia="zh-CN"/>
              </w:rPr>
              <w:t>5、进行景区生态修复、立体绿化等保护景区环境。</w:t>
            </w:r>
          </w:p>
        </w:tc>
        <w:tc>
          <w:tcPr>
            <w:tcW w:w="1722" w:type="dxa"/>
            <w:tcBorders>
              <w:tl2br w:val="nil"/>
              <w:tr2bl w:val="nil"/>
            </w:tcBorders>
            <w:shd w:val="clear" w:color="auto" w:fill="auto"/>
            <w:vAlign w:val="center"/>
          </w:tcPr>
          <w:p>
            <w:pPr>
              <w:keepNext w:val="0"/>
              <w:keepLines w:val="0"/>
              <w:pageBreakBefore w:val="0"/>
              <w:widowControl w:val="0"/>
              <w:numPr>
                <w:ilvl w:val="0"/>
                <w:numId w:val="2"/>
              </w:numPr>
              <w:kinsoku/>
              <w:wordWrap/>
              <w:overflowPunct/>
              <w:topLinePunct w:val="0"/>
              <w:autoSpaceDE/>
              <w:autoSpaceDN/>
              <w:bidi w:val="0"/>
              <w:adjustRightInd/>
              <w:snapToGrid/>
              <w:ind w:left="0" w:firstLine="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智慧景区服务与管理</w:t>
            </w:r>
          </w:p>
          <w:p>
            <w:pPr>
              <w:keepNext w:val="0"/>
              <w:keepLines w:val="0"/>
              <w:pageBreakBefore w:val="0"/>
              <w:widowControl w:val="0"/>
              <w:numPr>
                <w:ilvl w:val="0"/>
                <w:numId w:val="2"/>
              </w:numPr>
              <w:kinsoku/>
              <w:wordWrap/>
              <w:overflowPunct/>
              <w:topLinePunct w:val="0"/>
              <w:autoSpaceDE/>
              <w:autoSpaceDN/>
              <w:bidi w:val="0"/>
              <w:adjustRightInd/>
              <w:snapToGrid/>
              <w:ind w:left="0" w:firstLine="0"/>
              <w:jc w:val="left"/>
              <w:textAlignment w:val="auto"/>
              <w:rPr>
                <w:rFonts w:hint="eastAsia"/>
                <w:sz w:val="18"/>
                <w:szCs w:val="18"/>
              </w:rPr>
            </w:pPr>
            <w:r>
              <w:rPr>
                <w:rFonts w:hint="eastAsia"/>
                <w:sz w:val="18"/>
                <w:szCs w:val="18"/>
                <w:lang w:val="en-US" w:eastAsia="zh-CN"/>
              </w:rPr>
              <w:t>管理学基础</w:t>
            </w:r>
          </w:p>
          <w:p>
            <w:pPr>
              <w:keepNext w:val="0"/>
              <w:keepLines w:val="0"/>
              <w:pageBreakBefore w:val="0"/>
              <w:widowControl w:val="0"/>
              <w:numPr>
                <w:ilvl w:val="0"/>
                <w:numId w:val="2"/>
              </w:numPr>
              <w:kinsoku/>
              <w:wordWrap/>
              <w:overflowPunct/>
              <w:topLinePunct w:val="0"/>
              <w:autoSpaceDE/>
              <w:autoSpaceDN/>
              <w:bidi w:val="0"/>
              <w:adjustRightInd/>
              <w:snapToGrid/>
              <w:ind w:left="0" w:firstLine="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旅游</w:t>
            </w:r>
            <w:r>
              <w:rPr>
                <w:rFonts w:hint="eastAsia" w:ascii="宋体" w:hAnsi="宋体" w:cs="宋体"/>
                <w:color w:val="auto"/>
                <w:kern w:val="0"/>
                <w:sz w:val="18"/>
                <w:szCs w:val="18"/>
                <w:lang w:val="en-US" w:eastAsia="zh-CN"/>
              </w:rPr>
              <w:t>景区</w:t>
            </w:r>
            <w:r>
              <w:rPr>
                <w:rFonts w:hint="eastAsia" w:ascii="宋体" w:hAnsi="宋体" w:eastAsia="宋体" w:cs="宋体"/>
                <w:color w:val="auto"/>
                <w:kern w:val="0"/>
                <w:sz w:val="18"/>
                <w:szCs w:val="18"/>
                <w:lang w:val="en-US" w:eastAsia="zh-CN"/>
              </w:rPr>
              <w:t>市场营销</w:t>
            </w:r>
          </w:p>
          <w:p>
            <w:pPr>
              <w:keepNext w:val="0"/>
              <w:keepLines w:val="0"/>
              <w:pageBreakBefore w:val="0"/>
              <w:widowControl w:val="0"/>
              <w:numPr>
                <w:ilvl w:val="0"/>
                <w:numId w:val="2"/>
              </w:numPr>
              <w:kinsoku/>
              <w:wordWrap/>
              <w:overflowPunct/>
              <w:topLinePunct w:val="0"/>
              <w:autoSpaceDE/>
              <w:autoSpaceDN/>
              <w:bidi w:val="0"/>
              <w:adjustRightInd/>
              <w:snapToGrid/>
              <w:ind w:left="0" w:firstLine="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旅游电子商务</w:t>
            </w:r>
          </w:p>
          <w:p>
            <w:pPr>
              <w:keepNext w:val="0"/>
              <w:keepLines w:val="0"/>
              <w:pageBreakBefore w:val="0"/>
              <w:widowControl w:val="0"/>
              <w:numPr>
                <w:ilvl w:val="0"/>
                <w:numId w:val="2"/>
              </w:numPr>
              <w:kinsoku/>
              <w:wordWrap/>
              <w:overflowPunct/>
              <w:topLinePunct w:val="0"/>
              <w:autoSpaceDE/>
              <w:autoSpaceDN/>
              <w:bidi w:val="0"/>
              <w:adjustRightInd/>
              <w:snapToGrid/>
              <w:ind w:left="0" w:firstLine="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智慧旅游应用与管理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w:t>
            </w:r>
          </w:p>
        </w:tc>
        <w:tc>
          <w:tcPr>
            <w:tcW w:w="109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导游</w:t>
            </w:r>
          </w:p>
        </w:tc>
        <w:tc>
          <w:tcPr>
            <w:tcW w:w="1383" w:type="dxa"/>
            <w:tcBorders>
              <w:tl2br w:val="nil"/>
              <w:tr2bl w:val="nil"/>
            </w:tcBorders>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ind w:left="0" w:firstLine="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导游业务流程</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旅游突发事件处理</w:t>
            </w:r>
          </w:p>
        </w:tc>
        <w:tc>
          <w:tcPr>
            <w:tcW w:w="3693"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1、引导旅游者游览，介绍当地文化、民俗、历史、景点风貌、科普知识；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2、提示旅途安全注意事项，采取规定措施，防止危害发生；</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0"/>
                <w:sz w:val="18"/>
                <w:szCs w:val="18"/>
              </w:rPr>
            </w:pPr>
            <w:r>
              <w:rPr>
                <w:rFonts w:hint="eastAsia" w:ascii="宋体" w:hAnsi="宋体" w:eastAsia="宋体" w:cs="宋体"/>
                <w:color w:val="auto"/>
                <w:sz w:val="18"/>
                <w:szCs w:val="18"/>
                <w:lang w:val="en-US" w:eastAsia="zh-CN"/>
              </w:rPr>
              <w:t>3、协调、处理旅途中的突发事件。</w:t>
            </w:r>
          </w:p>
        </w:tc>
        <w:tc>
          <w:tcPr>
            <w:tcW w:w="1722" w:type="dxa"/>
            <w:tcBorders>
              <w:tl2br w:val="nil"/>
              <w:tr2bl w:val="nil"/>
            </w:tcBorders>
            <w:shd w:val="clear" w:color="auto" w:fill="auto"/>
            <w:vAlign w:val="center"/>
          </w:tcPr>
          <w:p>
            <w:pPr>
              <w:keepNext w:val="0"/>
              <w:keepLines w:val="0"/>
              <w:pageBreakBefore w:val="0"/>
              <w:widowControl w:val="0"/>
              <w:numPr>
                <w:ilvl w:val="0"/>
                <w:numId w:val="2"/>
              </w:numPr>
              <w:kinsoku/>
              <w:wordWrap/>
              <w:overflowPunct/>
              <w:topLinePunct w:val="0"/>
              <w:autoSpaceDE/>
              <w:autoSpaceDN/>
              <w:bidi w:val="0"/>
              <w:adjustRightInd/>
              <w:snapToGrid/>
              <w:ind w:left="0" w:firstLine="0"/>
              <w:jc w:val="left"/>
              <w:textAlignment w:val="auto"/>
              <w:rPr>
                <w:rFonts w:hint="eastAsia" w:ascii="宋体" w:hAnsi="宋体" w:eastAsia="宋体" w:cs="宋体"/>
                <w:color w:val="auto"/>
                <w:kern w:val="0"/>
                <w:sz w:val="18"/>
                <w:szCs w:val="18"/>
              </w:rPr>
            </w:pPr>
            <w:r>
              <w:rPr>
                <w:rFonts w:hint="eastAsia" w:ascii="宋体" w:hAnsi="宋体" w:cs="宋体"/>
                <w:color w:val="auto"/>
                <w:kern w:val="0"/>
                <w:sz w:val="18"/>
                <w:szCs w:val="18"/>
                <w:lang w:val="en-US" w:eastAsia="zh-CN"/>
              </w:rPr>
              <w:t>景点导游</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旅游地理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109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旅游咨询员</w:t>
            </w:r>
          </w:p>
        </w:tc>
        <w:tc>
          <w:tcPr>
            <w:tcW w:w="1383" w:type="dxa"/>
            <w:tcBorders>
              <w:tl2br w:val="nil"/>
              <w:tr2bl w:val="nil"/>
            </w:tcBorders>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ind w:left="0" w:firstLine="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旅游接待礼仪</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旅游投诉处理</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旅游新媒体宣传</w:t>
            </w:r>
          </w:p>
        </w:tc>
        <w:tc>
          <w:tcPr>
            <w:tcW w:w="3693" w:type="dxa"/>
            <w:tcBorders>
              <w:tl2br w:val="nil"/>
              <w:tr2bl w:val="nil"/>
            </w:tcBorders>
            <w:shd w:val="clear" w:color="auto" w:fill="auto"/>
            <w:vAlign w:val="center"/>
          </w:tcPr>
          <w:p>
            <w:pPr>
              <w:keepNext w:val="0"/>
              <w:keepLines w:val="0"/>
              <w:pageBreakBefore w:val="0"/>
              <w:widowControl w:val="0"/>
              <w:numPr>
                <w:ilvl w:val="0"/>
                <w:numId w:val="3"/>
              </w:numPr>
              <w:kinsoku/>
              <w:wordWrap/>
              <w:overflowPunct/>
              <w:topLinePunct w:val="0"/>
              <w:autoSpaceDE/>
              <w:autoSpaceDN/>
              <w:bidi w:val="0"/>
              <w:adjustRightInd/>
              <w:snapToGrid/>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提供旅游线路、产品、资源、食宿、交通、气象、安全、医疗救助以及法律法规等信息咨询服务；</w:t>
            </w:r>
          </w:p>
          <w:p>
            <w:pPr>
              <w:keepNext w:val="0"/>
              <w:keepLines w:val="0"/>
              <w:pageBreakBefore w:val="0"/>
              <w:widowControl w:val="0"/>
              <w:numPr>
                <w:ilvl w:val="0"/>
                <w:numId w:val="3"/>
              </w:numPr>
              <w:kinsoku/>
              <w:wordWrap/>
              <w:overflowPunct/>
              <w:topLinePunct w:val="0"/>
              <w:autoSpaceDE/>
              <w:autoSpaceDN/>
              <w:bidi w:val="0"/>
              <w:adjustRightInd/>
              <w:snapToGrid/>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使用、管理旅游咨询服务中心（站/点）设备设施，指导游客使用电脑、触摸屏等旅游电子服务设备；</w:t>
            </w:r>
          </w:p>
          <w:p>
            <w:pPr>
              <w:keepNext w:val="0"/>
              <w:keepLines w:val="0"/>
              <w:pageBreakBefore w:val="0"/>
              <w:widowControl w:val="0"/>
              <w:numPr>
                <w:ilvl w:val="0"/>
                <w:numId w:val="3"/>
              </w:numPr>
              <w:kinsoku/>
              <w:wordWrap/>
              <w:overflowPunct/>
              <w:topLinePunct w:val="0"/>
              <w:autoSpaceDE/>
              <w:autoSpaceDN/>
              <w:bidi w:val="0"/>
              <w:adjustRightInd/>
              <w:snapToGrid/>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发放旅游宣传资料，展示和推介旅游商品、地方特产等；</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0"/>
                <w:sz w:val="18"/>
                <w:szCs w:val="18"/>
              </w:rPr>
            </w:pPr>
            <w:r>
              <w:rPr>
                <w:rFonts w:hint="eastAsia" w:ascii="宋体" w:hAnsi="宋体" w:eastAsia="宋体" w:cs="宋体"/>
                <w:color w:val="auto"/>
                <w:sz w:val="18"/>
                <w:szCs w:val="18"/>
                <w:lang w:val="en-US" w:eastAsia="zh-CN"/>
              </w:rPr>
              <w:t>接待游客投诉，调研、统计和报送游客信息、宣传品发放情况等。</w:t>
            </w:r>
          </w:p>
        </w:tc>
        <w:tc>
          <w:tcPr>
            <w:tcW w:w="1722" w:type="dxa"/>
            <w:tcBorders>
              <w:tl2br w:val="nil"/>
              <w:tr2bl w:val="nil"/>
            </w:tcBorders>
            <w:shd w:val="clear" w:color="auto" w:fill="auto"/>
            <w:vAlign w:val="center"/>
          </w:tcPr>
          <w:p>
            <w:pPr>
              <w:keepNext w:val="0"/>
              <w:keepLines w:val="0"/>
              <w:pageBreakBefore w:val="0"/>
              <w:widowControl w:val="0"/>
              <w:numPr>
                <w:ilvl w:val="0"/>
                <w:numId w:val="2"/>
              </w:numPr>
              <w:kinsoku/>
              <w:wordWrap/>
              <w:overflowPunct/>
              <w:topLinePunct w:val="0"/>
              <w:autoSpaceDE/>
              <w:autoSpaceDN/>
              <w:bidi w:val="0"/>
              <w:adjustRightInd/>
              <w:snapToGrid/>
              <w:ind w:left="0" w:firstLine="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社交礼仪</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服务心理学</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景区</w:t>
            </w:r>
            <w:r>
              <w:rPr>
                <w:rFonts w:hint="eastAsia" w:ascii="宋体" w:hAnsi="宋体" w:eastAsia="宋体" w:cs="宋体"/>
                <w:color w:val="auto"/>
                <w:kern w:val="0"/>
                <w:sz w:val="18"/>
                <w:szCs w:val="18"/>
                <w:lang w:val="en-US" w:eastAsia="zh-CN" w:bidi="ar-SA"/>
              </w:rPr>
              <w:t>新媒体运营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w:t>
            </w:r>
          </w:p>
        </w:tc>
        <w:tc>
          <w:tcPr>
            <w:tcW w:w="109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公共游览场所服务员</w:t>
            </w:r>
          </w:p>
        </w:tc>
        <w:tc>
          <w:tcPr>
            <w:tcW w:w="1383" w:type="dxa"/>
            <w:tcBorders>
              <w:tl2br w:val="nil"/>
              <w:tr2bl w:val="nil"/>
            </w:tcBorders>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ind w:left="0" w:firstLine="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旅游接待礼仪</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旅游标准信息推广</w:t>
            </w:r>
          </w:p>
        </w:tc>
        <w:tc>
          <w:tcPr>
            <w:tcW w:w="3693"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kern w:val="2"/>
                <w:sz w:val="18"/>
                <w:szCs w:val="18"/>
                <w:lang w:val="en-US" w:eastAsia="zh-CN" w:bidi="ar-SA"/>
              </w:rPr>
              <w:t>1、</w:t>
            </w:r>
            <w:r>
              <w:rPr>
                <w:rFonts w:hint="eastAsia" w:ascii="宋体" w:hAnsi="宋体" w:eastAsia="宋体" w:cs="宋体"/>
                <w:color w:val="auto"/>
                <w:sz w:val="18"/>
                <w:szCs w:val="18"/>
                <w:lang w:val="en-US" w:eastAsia="zh-CN"/>
              </w:rPr>
              <w:t>公布游乐、公映、演出、展览等活动项目内容、时间安排；</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kern w:val="2"/>
                <w:sz w:val="18"/>
                <w:szCs w:val="18"/>
                <w:lang w:val="en-US" w:eastAsia="zh-CN" w:bidi="ar-SA"/>
              </w:rPr>
              <w:t>2、</w:t>
            </w:r>
            <w:r>
              <w:rPr>
                <w:rFonts w:hint="eastAsia" w:ascii="宋体" w:hAnsi="宋体" w:eastAsia="宋体" w:cs="宋体"/>
                <w:color w:val="auto"/>
                <w:sz w:val="18"/>
                <w:szCs w:val="18"/>
                <w:lang w:val="en-US" w:eastAsia="zh-CN"/>
              </w:rPr>
              <w:t>售票、检票；</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kern w:val="2"/>
                <w:sz w:val="18"/>
                <w:szCs w:val="18"/>
                <w:lang w:val="en-US" w:eastAsia="zh-CN" w:bidi="ar-SA"/>
              </w:rPr>
              <w:t>3、</w:t>
            </w:r>
            <w:r>
              <w:rPr>
                <w:rFonts w:hint="eastAsia" w:ascii="宋体" w:hAnsi="宋体" w:eastAsia="宋体" w:cs="宋体"/>
                <w:color w:val="auto"/>
                <w:sz w:val="18"/>
                <w:szCs w:val="18"/>
                <w:lang w:val="en-US" w:eastAsia="zh-CN"/>
              </w:rPr>
              <w:t>提供游览信息咨询等服务；</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2"/>
                <w:sz w:val="18"/>
                <w:szCs w:val="18"/>
                <w:lang w:val="en-US" w:eastAsia="zh-CN" w:bidi="ar-SA"/>
              </w:rPr>
              <w:t>4、</w:t>
            </w:r>
            <w:r>
              <w:rPr>
                <w:rFonts w:hint="eastAsia" w:ascii="宋体" w:hAnsi="宋体" w:eastAsia="宋体" w:cs="宋体"/>
                <w:color w:val="auto"/>
                <w:sz w:val="18"/>
                <w:szCs w:val="18"/>
                <w:lang w:val="en-US" w:eastAsia="zh-CN"/>
              </w:rPr>
              <w:t>管理、操作、维护游乐、游艺设施及其他公共设施。</w:t>
            </w:r>
          </w:p>
        </w:tc>
        <w:tc>
          <w:tcPr>
            <w:tcW w:w="1722" w:type="dxa"/>
            <w:tcBorders>
              <w:tl2br w:val="nil"/>
              <w:tr2bl w:val="nil"/>
            </w:tcBorders>
            <w:shd w:val="clear" w:color="auto" w:fill="auto"/>
            <w:vAlign w:val="center"/>
          </w:tcPr>
          <w:p>
            <w:pPr>
              <w:keepNext w:val="0"/>
              <w:keepLines w:val="0"/>
              <w:pageBreakBefore w:val="0"/>
              <w:widowControl w:val="0"/>
              <w:numPr>
                <w:ilvl w:val="0"/>
                <w:numId w:val="2"/>
              </w:numPr>
              <w:kinsoku/>
              <w:wordWrap/>
              <w:overflowPunct/>
              <w:topLinePunct w:val="0"/>
              <w:autoSpaceDE/>
              <w:autoSpaceDN/>
              <w:bidi w:val="0"/>
              <w:adjustRightInd/>
              <w:snapToGrid/>
              <w:ind w:left="0" w:firstLine="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社交礼仪</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管理学基础</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旅游标准知识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109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讲解员</w:t>
            </w:r>
          </w:p>
        </w:tc>
        <w:tc>
          <w:tcPr>
            <w:tcW w:w="1383" w:type="dxa"/>
            <w:tcBorders>
              <w:tl2br w:val="nil"/>
              <w:tr2bl w:val="nil"/>
            </w:tcBorders>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ind w:left="0" w:firstLine="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导游词撰写</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讲解服务</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活动策划</w:t>
            </w:r>
          </w:p>
        </w:tc>
        <w:tc>
          <w:tcPr>
            <w:tcW w:w="3693"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kern w:val="2"/>
                <w:sz w:val="18"/>
                <w:szCs w:val="18"/>
                <w:lang w:val="en-US" w:eastAsia="zh-CN" w:bidi="ar-SA"/>
              </w:rPr>
              <w:t>1</w:t>
            </w:r>
            <w:r>
              <w:rPr>
                <w:rFonts w:hint="eastAsia" w:ascii="宋体" w:hAnsi="宋体" w:eastAsia="宋体" w:cs="宋体"/>
                <w:color w:val="auto"/>
                <w:sz w:val="18"/>
                <w:szCs w:val="18"/>
                <w:lang w:val="en-US" w:eastAsia="zh-CN"/>
              </w:rPr>
              <w:t>编写讲解词；</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2引导观众参观展览及人文、自然景观等，进行现场讲解；</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3、引导观众遵守观展秩序，维护展览、人文景观和自然生态环境，组织观众应对处置现场突发事件等；</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4、策划组织专题讲座、流动展览等宣传教育活动；</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5、培训志愿讲解人员；</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6、处理突发事件等。</w:t>
            </w:r>
          </w:p>
        </w:tc>
        <w:tc>
          <w:tcPr>
            <w:tcW w:w="1722" w:type="dxa"/>
            <w:tcBorders>
              <w:tl2br w:val="nil"/>
              <w:tr2bl w:val="nil"/>
            </w:tcBorders>
            <w:shd w:val="clear" w:color="auto" w:fill="auto"/>
            <w:vAlign w:val="center"/>
          </w:tcPr>
          <w:p>
            <w:pPr>
              <w:keepNext w:val="0"/>
              <w:keepLines w:val="0"/>
              <w:pageBreakBefore w:val="0"/>
              <w:widowControl w:val="0"/>
              <w:numPr>
                <w:ilvl w:val="0"/>
                <w:numId w:val="2"/>
              </w:numPr>
              <w:kinsoku/>
              <w:wordWrap/>
              <w:overflowPunct/>
              <w:topLinePunct w:val="0"/>
              <w:autoSpaceDE/>
              <w:autoSpaceDN/>
              <w:bidi w:val="0"/>
              <w:adjustRightInd/>
              <w:snapToGrid/>
              <w:ind w:left="0" w:firstLine="0"/>
              <w:jc w:val="left"/>
              <w:textAlignment w:val="auto"/>
              <w:rPr>
                <w:rFonts w:hint="eastAsia" w:ascii="宋体" w:hAnsi="宋体" w:eastAsia="宋体" w:cs="宋体"/>
                <w:color w:val="auto"/>
                <w:kern w:val="0"/>
                <w:sz w:val="18"/>
                <w:szCs w:val="18"/>
              </w:rPr>
            </w:pPr>
            <w:r>
              <w:rPr>
                <w:rFonts w:hint="eastAsia" w:ascii="宋体" w:hAnsi="宋体" w:cs="宋体"/>
                <w:color w:val="auto"/>
                <w:kern w:val="0"/>
                <w:sz w:val="18"/>
                <w:szCs w:val="18"/>
                <w:lang w:val="en-US" w:eastAsia="zh-CN"/>
              </w:rPr>
              <w:t>中国</w:t>
            </w:r>
            <w:r>
              <w:rPr>
                <w:rFonts w:hint="eastAsia" w:ascii="宋体" w:hAnsi="宋体" w:eastAsia="宋体" w:cs="宋体"/>
                <w:color w:val="auto"/>
                <w:kern w:val="0"/>
                <w:sz w:val="18"/>
                <w:szCs w:val="18"/>
                <w:lang w:val="en-US" w:eastAsia="zh-CN"/>
              </w:rPr>
              <w:t>文化</w:t>
            </w:r>
          </w:p>
          <w:p>
            <w:pPr>
              <w:keepNext w:val="0"/>
              <w:keepLines w:val="0"/>
              <w:pageBreakBefore w:val="0"/>
              <w:widowControl w:val="0"/>
              <w:numPr>
                <w:ilvl w:val="0"/>
                <w:numId w:val="2"/>
              </w:numPr>
              <w:kinsoku/>
              <w:wordWrap/>
              <w:overflowPunct/>
              <w:topLinePunct w:val="0"/>
              <w:autoSpaceDE/>
              <w:autoSpaceDN/>
              <w:bidi w:val="0"/>
              <w:adjustRightInd/>
              <w:snapToGrid/>
              <w:ind w:left="0" w:firstLine="0"/>
              <w:jc w:val="left"/>
              <w:textAlignment w:val="auto"/>
              <w:rPr>
                <w:rFonts w:hint="eastAsia" w:ascii="宋体" w:hAnsi="宋体" w:eastAsia="宋体" w:cs="宋体"/>
                <w:color w:val="auto"/>
                <w:kern w:val="0"/>
                <w:sz w:val="18"/>
                <w:szCs w:val="18"/>
              </w:rPr>
            </w:pPr>
            <w:r>
              <w:rPr>
                <w:rFonts w:hint="eastAsia" w:ascii="宋体" w:hAnsi="宋体" w:cs="宋体"/>
                <w:color w:val="auto"/>
                <w:kern w:val="0"/>
                <w:sz w:val="18"/>
                <w:szCs w:val="18"/>
                <w:lang w:val="en-US" w:eastAsia="zh-CN"/>
              </w:rPr>
              <w:t>服务心理学</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旅游策划</w:t>
            </w:r>
            <w:r>
              <w:rPr>
                <w:rFonts w:hint="eastAsia" w:ascii="宋体" w:hAnsi="宋体" w:cs="宋体"/>
                <w:color w:val="auto"/>
                <w:kern w:val="0"/>
                <w:sz w:val="18"/>
                <w:szCs w:val="18"/>
                <w:lang w:val="en-US" w:eastAsia="zh-CN"/>
              </w:rPr>
              <w:t>实务</w:t>
            </w: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黑体" w:cs="Times New Roman"/>
          <w:color w:val="auto"/>
          <w:kern w:val="0"/>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五、培养目标与规格</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（一）培养目标定位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本专业培养思想政治坚定、德技并修、德智体美劳全面发展的社会主义现代化建设事业的建设者和接班人，围绕</w:t>
      </w:r>
      <w:r>
        <w:rPr>
          <w:rFonts w:hint="eastAsia" w:ascii="宋体" w:hAnsi="宋体" w:eastAsia="宋体" w:cs="宋体"/>
          <w:color w:val="auto"/>
          <w:kern w:val="0"/>
          <w:sz w:val="21"/>
          <w:szCs w:val="21"/>
          <w:lang w:val="en-US" w:eastAsia="zh-CN"/>
        </w:rPr>
        <w:t>旅游景区、公共游览场所、旅游服务</w:t>
      </w:r>
      <w:r>
        <w:rPr>
          <w:rFonts w:hint="eastAsia" w:ascii="宋体" w:hAnsi="宋体" w:eastAsia="宋体" w:cs="宋体"/>
          <w:color w:val="auto"/>
          <w:kern w:val="0"/>
          <w:sz w:val="21"/>
          <w:szCs w:val="21"/>
        </w:rPr>
        <w:t>等产业高端发展的人才需求，面向</w:t>
      </w:r>
      <w:r>
        <w:rPr>
          <w:rFonts w:hint="eastAsia" w:ascii="宋体" w:hAnsi="宋体" w:eastAsia="宋体" w:cs="宋体"/>
          <w:b w:val="0"/>
          <w:bCs w:val="0"/>
          <w:color w:val="auto"/>
          <w:kern w:val="0"/>
          <w:sz w:val="21"/>
          <w:szCs w:val="21"/>
          <w:lang w:val="en-US" w:eastAsia="zh-CN"/>
        </w:rPr>
        <w:t>游览景区管理</w:t>
      </w:r>
      <w:r>
        <w:rPr>
          <w:rFonts w:hint="eastAsia" w:ascii="宋体" w:hAnsi="宋体" w:eastAsia="宋体" w:cs="宋体"/>
          <w:color w:val="auto"/>
          <w:kern w:val="0"/>
          <w:sz w:val="21"/>
          <w:szCs w:val="21"/>
        </w:rPr>
        <w:t>行业的</w:t>
      </w:r>
      <w:r>
        <w:rPr>
          <w:rFonts w:hint="eastAsia" w:ascii="宋体" w:hAnsi="宋体" w:eastAsia="宋体" w:cs="宋体"/>
          <w:color w:val="auto"/>
          <w:kern w:val="0"/>
          <w:sz w:val="21"/>
          <w:szCs w:val="21"/>
          <w:lang w:val="en-US" w:eastAsia="zh-CN"/>
        </w:rPr>
        <w:t>景区运营管理师、</w:t>
      </w:r>
      <w:r>
        <w:rPr>
          <w:rFonts w:hint="eastAsia" w:ascii="宋体" w:hAnsi="宋体" w:eastAsia="宋体" w:cs="宋体"/>
          <w:b w:val="0"/>
          <w:bCs w:val="0"/>
          <w:color w:val="auto"/>
          <w:kern w:val="0"/>
          <w:sz w:val="21"/>
          <w:szCs w:val="21"/>
          <w:lang w:val="en-US" w:eastAsia="zh-CN"/>
        </w:rPr>
        <w:t>导游、旅游咨询员、公共游览场所服务员、讲解员等</w:t>
      </w:r>
      <w:r>
        <w:rPr>
          <w:rFonts w:hint="eastAsia" w:ascii="宋体" w:hAnsi="宋体" w:eastAsia="宋体" w:cs="宋体"/>
          <w:color w:val="auto"/>
          <w:kern w:val="0"/>
          <w:sz w:val="21"/>
          <w:szCs w:val="21"/>
        </w:rPr>
        <w:t>职业，掌握扎实的</w:t>
      </w:r>
      <w:r>
        <w:rPr>
          <w:rFonts w:hint="eastAsia" w:ascii="宋体" w:hAnsi="宋体" w:eastAsia="宋体" w:cs="宋体"/>
          <w:b w:val="0"/>
          <w:bCs w:val="0"/>
          <w:color w:val="auto"/>
          <w:kern w:val="0"/>
          <w:sz w:val="21"/>
          <w:szCs w:val="21"/>
          <w:lang w:val="en-US" w:eastAsia="zh-CN"/>
        </w:rPr>
        <w:t>现代旅游景区服务、运营、管理</w:t>
      </w:r>
      <w:r>
        <w:rPr>
          <w:rFonts w:hint="eastAsia" w:ascii="宋体" w:hAnsi="宋体" w:eastAsia="宋体" w:cs="宋体"/>
          <w:color w:val="auto"/>
          <w:kern w:val="0"/>
          <w:sz w:val="21"/>
          <w:szCs w:val="21"/>
        </w:rPr>
        <w:t>等知识，具备</w:t>
      </w:r>
      <w:r>
        <w:rPr>
          <w:rFonts w:hint="eastAsia" w:ascii="宋体" w:hAnsi="宋体" w:eastAsia="宋体" w:cs="宋体"/>
          <w:color w:val="auto"/>
          <w:sz w:val="21"/>
          <w:szCs w:val="21"/>
          <w:lang w:val="en-US" w:eastAsia="zh-CN"/>
        </w:rPr>
        <w:t>景区接待服务、景区营销推广、景区运营管理、智慧景区技术支持</w:t>
      </w:r>
      <w:r>
        <w:rPr>
          <w:rFonts w:hint="eastAsia" w:ascii="宋体" w:hAnsi="宋体" w:eastAsia="宋体" w:cs="宋体"/>
          <w:color w:val="auto"/>
          <w:kern w:val="0"/>
          <w:sz w:val="21"/>
          <w:szCs w:val="21"/>
        </w:rPr>
        <w:t>等能力，能够从事</w:t>
      </w:r>
      <w:r>
        <w:rPr>
          <w:rFonts w:hint="eastAsia" w:ascii="宋体" w:hAnsi="宋体" w:eastAsia="宋体" w:cs="宋体"/>
          <w:b w:val="0"/>
          <w:bCs w:val="0"/>
          <w:color w:val="auto"/>
          <w:kern w:val="0"/>
          <w:sz w:val="21"/>
          <w:szCs w:val="21"/>
          <w:lang w:val="en-US" w:eastAsia="zh-CN"/>
        </w:rPr>
        <w:t>旅游景区各岗位服务、职业技能、基础管理</w:t>
      </w:r>
      <w:r>
        <w:rPr>
          <w:rFonts w:hint="eastAsia" w:ascii="宋体" w:hAnsi="宋体" w:eastAsia="宋体" w:cs="宋体"/>
          <w:color w:val="auto"/>
          <w:kern w:val="0"/>
          <w:sz w:val="21"/>
          <w:szCs w:val="21"/>
        </w:rPr>
        <w:t>工作的高素质技术技能人才。</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b/>
          <w:bCs/>
          <w:color w:val="auto"/>
          <w:kern w:val="0"/>
          <w:sz w:val="21"/>
          <w:szCs w:val="21"/>
        </w:rPr>
        <w:t>（二）培养规格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本专业毕业生应在素质、知识和能力等方面达到以下要求：</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b/>
          <w:bCs/>
          <w:color w:val="auto"/>
          <w:kern w:val="0"/>
          <w:sz w:val="21"/>
          <w:szCs w:val="21"/>
        </w:rPr>
        <w:t>2.1 素质要求</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坚定拥护中国共产党领导和我国社会主义制度，在习近平新时代中国特色社会主义思想指引下，践行社会主义核心价值观，具有深厚的爱国情感和中华民族自豪感；</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崇尚宪法、遵法守纪、崇德向善、诚实守信、尊重生命、热爱劳动，履行道德准则和行为规范，具有社会责任感和社会参与意识；</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具有质量意识、环保意识、安全意识、信息素养、工匠精神、创新思维；</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勇于奋斗、乐观向上，具有自我管理能力、职业生涯规划的意识，有较强的集体意识和团队合作精神；</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具有健康的体魄，健全的人格，养成良好的健身与卫生习惯，良好的行为习惯；</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具有创新精神与创业意识。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b/>
          <w:bCs/>
          <w:color w:val="auto"/>
          <w:kern w:val="0"/>
          <w:sz w:val="21"/>
          <w:szCs w:val="21"/>
        </w:rPr>
        <w:t>2.2知识要求</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val="en-US" w:eastAsia="zh-CN"/>
        </w:rPr>
        <w:t>掌握必备的思想政治理论、科学文化基础和中华优秀传统文化知识；</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kern w:val="0"/>
          <w:sz w:val="21"/>
          <w:szCs w:val="21"/>
        </w:rPr>
      </w:pPr>
      <w:r>
        <w:rPr>
          <w:rFonts w:hint="eastAsia" w:ascii="宋体" w:hAnsi="宋体" w:eastAsia="宋体" w:cs="宋体"/>
          <w:b w:val="0"/>
          <w:bCs w:val="0"/>
          <w:color w:val="auto"/>
          <w:kern w:val="0"/>
          <w:sz w:val="21"/>
          <w:szCs w:val="21"/>
          <w:lang w:val="en-US" w:eastAsia="zh-CN"/>
        </w:rPr>
        <w:t>掌握采集相关数据，进行旅游景区企业网络经营状况和销售数据分析</w:t>
      </w:r>
      <w:r>
        <w:rPr>
          <w:rFonts w:hint="eastAsia" w:ascii="宋体" w:hAnsi="宋体" w:cs="宋体"/>
          <w:b w:val="0"/>
          <w:bCs w:val="0"/>
          <w:color w:val="auto"/>
          <w:kern w:val="0"/>
          <w:sz w:val="21"/>
          <w:szCs w:val="21"/>
          <w:lang w:val="en-US" w:eastAsia="zh-CN"/>
        </w:rPr>
        <w:t>知识</w:t>
      </w:r>
      <w:r>
        <w:rPr>
          <w:rFonts w:hint="default" w:ascii="Times New Roman" w:hAnsi="Times New Roman" w:cs="Times New Roman" w:eastAsiaTheme="minorEastAsia"/>
          <w:color w:val="auto"/>
          <w:kern w:val="0"/>
          <w:sz w:val="21"/>
          <w:szCs w:val="21"/>
        </w:rPr>
        <w:t>；</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kern w:val="0"/>
          <w:sz w:val="21"/>
          <w:szCs w:val="21"/>
        </w:rPr>
      </w:pPr>
      <w:r>
        <w:rPr>
          <w:rFonts w:hint="eastAsia" w:ascii="宋体" w:hAnsi="宋体" w:eastAsia="宋体" w:cs="宋体"/>
          <w:b w:val="0"/>
          <w:bCs w:val="0"/>
          <w:color w:val="auto"/>
          <w:kern w:val="0"/>
          <w:sz w:val="21"/>
          <w:szCs w:val="21"/>
          <w:lang w:val="en-US" w:eastAsia="zh-CN"/>
        </w:rPr>
        <w:t>掌握运用互联网的相关工具和技术，进行旅游景区企业产品网络推广</w:t>
      </w:r>
      <w:r>
        <w:rPr>
          <w:rFonts w:hint="eastAsia" w:ascii="宋体" w:hAnsi="宋体" w:cs="宋体"/>
          <w:b w:val="0"/>
          <w:bCs w:val="0"/>
          <w:color w:val="auto"/>
          <w:kern w:val="0"/>
          <w:sz w:val="21"/>
          <w:szCs w:val="21"/>
          <w:lang w:val="en-US" w:eastAsia="zh-CN"/>
        </w:rPr>
        <w:t>知识</w:t>
      </w:r>
      <w:r>
        <w:rPr>
          <w:rFonts w:hint="default" w:ascii="Times New Roman" w:hAnsi="Times New Roman" w:cs="Times New Roman" w:eastAsiaTheme="minorEastAsia"/>
          <w:color w:val="auto"/>
          <w:kern w:val="0"/>
          <w:sz w:val="21"/>
          <w:szCs w:val="21"/>
        </w:rPr>
        <w:t>；</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val="en-US" w:eastAsia="zh-CN"/>
        </w:rPr>
        <w:t>熟悉与本专业相关的法律法规以及环境保护、安全消防等知识</w:t>
      </w:r>
      <w:r>
        <w:rPr>
          <w:rFonts w:hint="default" w:ascii="Times New Roman" w:hAnsi="Times New Roman" w:cs="Times New Roman" w:eastAsiaTheme="minorEastAsia"/>
          <w:color w:val="auto"/>
          <w:kern w:val="0"/>
          <w:sz w:val="21"/>
          <w:szCs w:val="21"/>
        </w:rPr>
        <w:t>；</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val="en-US" w:eastAsia="zh-CN"/>
        </w:rPr>
        <w:t>掌握美学鉴赏、文艺欣赏、历史文化等方面知识</w:t>
      </w:r>
      <w:r>
        <w:rPr>
          <w:rFonts w:hint="default" w:ascii="Times New Roman" w:hAnsi="Times New Roman" w:cs="Times New Roman" w:eastAsiaTheme="minorEastAsia"/>
          <w:color w:val="auto"/>
          <w:kern w:val="0"/>
          <w:sz w:val="21"/>
          <w:szCs w:val="21"/>
        </w:rPr>
        <w:t>；</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val="en-US" w:eastAsia="zh-CN"/>
        </w:rPr>
        <w:t>掌握社会交往与沟通礼仪方面的知识</w:t>
      </w:r>
      <w:r>
        <w:rPr>
          <w:rFonts w:hint="default" w:ascii="Times New Roman" w:hAnsi="Times New Roman" w:cs="Times New Roman" w:eastAsiaTheme="minorEastAsia"/>
          <w:color w:val="auto"/>
          <w:kern w:val="0"/>
          <w:sz w:val="21"/>
          <w:szCs w:val="21"/>
        </w:rPr>
        <w:t>；</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val="en-US" w:eastAsia="zh-CN"/>
        </w:rPr>
        <w:t>掌握组织、计划、控制、决策、沟通、创新等管理学相关理论</w:t>
      </w:r>
      <w:r>
        <w:rPr>
          <w:rFonts w:hint="default" w:ascii="Times New Roman" w:hAnsi="Times New Roman" w:cs="Times New Roman" w:eastAsiaTheme="minorEastAsia"/>
          <w:color w:val="auto"/>
          <w:kern w:val="0"/>
          <w:sz w:val="21"/>
          <w:szCs w:val="21"/>
        </w:rPr>
        <w:t>；</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val="en-US" w:eastAsia="zh-CN"/>
        </w:rPr>
        <w:t>掌握旅游电子商务平台构架及运作基本知识</w:t>
      </w:r>
      <w:r>
        <w:rPr>
          <w:rFonts w:hint="default" w:ascii="Times New Roman" w:hAnsi="Times New Roman" w:cs="Times New Roman" w:eastAsiaTheme="minorEastAsia"/>
          <w:color w:val="auto"/>
          <w:kern w:val="0"/>
          <w:sz w:val="21"/>
          <w:szCs w:val="21"/>
        </w:rPr>
        <w:t>；</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val="en-US" w:eastAsia="zh-CN"/>
        </w:rPr>
        <w:t>熟悉旅游经济学市场供需结构等理论</w:t>
      </w:r>
      <w:r>
        <w:rPr>
          <w:rFonts w:hint="default" w:ascii="Times New Roman" w:hAnsi="Times New Roman" w:cs="Times New Roman" w:eastAsiaTheme="minorEastAsia"/>
          <w:color w:val="auto"/>
          <w:kern w:val="0"/>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b/>
          <w:bCs/>
          <w:color w:val="auto"/>
          <w:kern w:val="0"/>
          <w:sz w:val="21"/>
          <w:szCs w:val="21"/>
        </w:rPr>
        <w:t>2.3 专业能力要求</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kern w:val="0"/>
          <w:sz w:val="21"/>
          <w:szCs w:val="21"/>
        </w:rPr>
      </w:pPr>
      <w:r>
        <w:rPr>
          <w:rFonts w:hint="eastAsia" w:ascii="宋体" w:hAnsi="宋体" w:eastAsia="宋体" w:cs="宋体"/>
          <w:b w:val="0"/>
          <w:bCs w:val="0"/>
          <w:color w:val="auto"/>
          <w:kern w:val="0"/>
          <w:sz w:val="21"/>
          <w:szCs w:val="21"/>
          <w:lang w:val="en-US" w:eastAsia="zh-CN"/>
        </w:rPr>
        <w:t>能够编写讲解词，引导旅游者参观展览及人文、自然景观等，进行现场讲解</w:t>
      </w:r>
      <w:r>
        <w:rPr>
          <w:rFonts w:hint="default" w:ascii="Times New Roman" w:hAnsi="Times New Roman" w:cs="Times New Roman" w:eastAsiaTheme="minorEastAsia"/>
          <w:color w:val="auto"/>
          <w:kern w:val="0"/>
          <w:sz w:val="21"/>
          <w:szCs w:val="21"/>
        </w:rPr>
        <w:t>；</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kern w:val="0"/>
          <w:sz w:val="21"/>
          <w:szCs w:val="21"/>
        </w:rPr>
      </w:pPr>
      <w:r>
        <w:rPr>
          <w:rFonts w:hint="eastAsia" w:ascii="宋体" w:hAnsi="宋体" w:eastAsia="宋体" w:cs="宋体"/>
          <w:b w:val="0"/>
          <w:bCs w:val="0"/>
          <w:color w:val="auto"/>
          <w:kern w:val="0"/>
          <w:sz w:val="21"/>
          <w:szCs w:val="21"/>
          <w:lang w:val="en-US" w:eastAsia="zh-CN"/>
        </w:rPr>
        <w:t>能够引导旅游者游览，介绍当地文化、民俗、历史、景点风貌、科普知识</w:t>
      </w:r>
      <w:r>
        <w:rPr>
          <w:rFonts w:hint="default" w:ascii="Times New Roman" w:hAnsi="Times New Roman" w:cs="Times New Roman" w:eastAsiaTheme="minorEastAsia"/>
          <w:color w:val="auto"/>
          <w:kern w:val="0"/>
          <w:sz w:val="21"/>
          <w:szCs w:val="21"/>
        </w:rPr>
        <w:t>；</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kern w:val="0"/>
          <w:sz w:val="21"/>
          <w:szCs w:val="21"/>
        </w:rPr>
      </w:pPr>
      <w:r>
        <w:rPr>
          <w:rFonts w:hint="eastAsia" w:ascii="宋体" w:hAnsi="宋体" w:eastAsia="宋体" w:cs="宋体"/>
          <w:b w:val="0"/>
          <w:bCs w:val="0"/>
          <w:color w:val="auto"/>
          <w:kern w:val="0"/>
          <w:sz w:val="21"/>
          <w:szCs w:val="21"/>
          <w:lang w:val="en-US" w:eastAsia="zh-CN"/>
        </w:rPr>
        <w:t>能够提醒旅游者保护展览及人文景观、自然生态等环境</w:t>
      </w:r>
      <w:r>
        <w:rPr>
          <w:rFonts w:hint="default" w:ascii="Times New Roman" w:hAnsi="Times New Roman" w:cs="Times New Roman" w:eastAsiaTheme="minorEastAsia"/>
          <w:color w:val="auto"/>
          <w:kern w:val="0"/>
          <w:sz w:val="21"/>
          <w:szCs w:val="21"/>
        </w:rPr>
        <w:t>；</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kern w:val="0"/>
          <w:sz w:val="21"/>
          <w:szCs w:val="21"/>
        </w:rPr>
      </w:pPr>
      <w:r>
        <w:rPr>
          <w:rFonts w:hint="eastAsia" w:ascii="宋体" w:hAnsi="宋体" w:eastAsia="宋体" w:cs="宋体"/>
          <w:b w:val="0"/>
          <w:bCs w:val="0"/>
          <w:color w:val="auto"/>
          <w:kern w:val="0"/>
          <w:sz w:val="21"/>
          <w:szCs w:val="21"/>
          <w:lang w:val="en-US" w:eastAsia="zh-CN"/>
        </w:rPr>
        <w:t>能够使用、管理旅游咨询服务中心（站/点）设备设施，指导游客使用电脑、触摸屏等旅游电子服务设备</w:t>
      </w:r>
      <w:r>
        <w:rPr>
          <w:rFonts w:hint="default" w:ascii="Times New Roman" w:hAnsi="Times New Roman" w:cs="Times New Roman" w:eastAsiaTheme="minorEastAsia"/>
          <w:color w:val="auto"/>
          <w:kern w:val="0"/>
          <w:sz w:val="21"/>
          <w:szCs w:val="21"/>
        </w:rPr>
        <w:t>；</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kern w:val="0"/>
          <w:sz w:val="21"/>
          <w:szCs w:val="21"/>
        </w:rPr>
      </w:pPr>
      <w:r>
        <w:rPr>
          <w:rFonts w:hint="eastAsia" w:ascii="宋体" w:hAnsi="宋体" w:eastAsia="宋体" w:cs="宋体"/>
          <w:b w:val="0"/>
          <w:bCs w:val="0"/>
          <w:color w:val="auto"/>
          <w:kern w:val="0"/>
          <w:sz w:val="21"/>
          <w:szCs w:val="21"/>
          <w:lang w:val="en-US" w:eastAsia="zh-CN"/>
        </w:rPr>
        <w:t>能够编制大地景物、风景名胜区、遗产地、休闲游憩地、城市景观规划</w:t>
      </w:r>
      <w:r>
        <w:rPr>
          <w:rFonts w:hint="default" w:ascii="Times New Roman" w:hAnsi="Times New Roman" w:cs="Times New Roman" w:eastAsiaTheme="minorEastAsia"/>
          <w:color w:val="auto"/>
          <w:kern w:val="0"/>
          <w:sz w:val="21"/>
          <w:szCs w:val="21"/>
        </w:rPr>
        <w:t>；</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kern w:val="0"/>
          <w:sz w:val="21"/>
          <w:szCs w:val="21"/>
        </w:rPr>
      </w:pPr>
      <w:r>
        <w:rPr>
          <w:rFonts w:hint="eastAsia" w:ascii="宋体" w:hAnsi="宋体" w:eastAsia="宋体" w:cs="宋体"/>
          <w:b w:val="0"/>
          <w:bCs w:val="0"/>
          <w:color w:val="auto"/>
          <w:kern w:val="0"/>
          <w:sz w:val="21"/>
          <w:szCs w:val="21"/>
          <w:lang w:val="en-US" w:eastAsia="zh-CN"/>
        </w:rPr>
        <w:t>能够进行风景名胜区、公园和绿地的运营管理</w:t>
      </w:r>
      <w:r>
        <w:rPr>
          <w:rFonts w:hint="default" w:ascii="Times New Roman" w:hAnsi="Times New Roman" w:cs="Times New Roman" w:eastAsiaTheme="minorEastAsia"/>
          <w:color w:val="auto"/>
          <w:kern w:val="0"/>
          <w:sz w:val="21"/>
          <w:szCs w:val="21"/>
        </w:rPr>
        <w:t>；</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kern w:val="0"/>
          <w:sz w:val="21"/>
          <w:szCs w:val="21"/>
        </w:rPr>
      </w:pPr>
      <w:r>
        <w:rPr>
          <w:rFonts w:hint="eastAsia" w:ascii="宋体" w:hAnsi="宋体" w:eastAsia="宋体" w:cs="宋体"/>
          <w:b w:val="0"/>
          <w:bCs w:val="0"/>
          <w:color w:val="auto"/>
          <w:kern w:val="0"/>
          <w:sz w:val="21"/>
          <w:szCs w:val="21"/>
          <w:lang w:val="en-US" w:eastAsia="zh-CN"/>
        </w:rPr>
        <w:t>能够收集风景区和城镇环境、地质、水文、乡土植物等技术资料</w:t>
      </w:r>
      <w:r>
        <w:rPr>
          <w:rFonts w:hint="eastAsia" w:ascii="宋体" w:hAnsi="宋体" w:cs="宋体"/>
          <w:b w:val="0"/>
          <w:bCs w:val="0"/>
          <w:color w:val="auto"/>
          <w:kern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六、课程设置</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（一）课程体系结构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依据国家教育政策、教育教学规律和学生认知发展规律， 根据岗位群工作任务与职业能力分析结果， 结合 1+X 证书制度、模块化课程等教育教学改革方向，构建课程体系。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华文仿宋" w:hAnsi="华文仿宋" w:eastAsia="华文仿宋" w:cs="华文仿宋"/>
          <w:color w:val="auto"/>
          <w:kern w:val="0"/>
          <w:sz w:val="24"/>
          <w:szCs w:val="24"/>
          <w:lang w:val="en-US" w:eastAsia="zh-CN"/>
        </w:rPr>
      </w:pPr>
      <w:r>
        <w:rPr>
          <w:rFonts w:hint="eastAsia" w:ascii="华文仿宋" w:hAnsi="华文仿宋" w:eastAsia="华文仿宋" w:cs="华文仿宋"/>
          <w:color w:val="auto"/>
          <w:kern w:val="0"/>
          <w:sz w:val="24"/>
          <w:szCs w:val="24"/>
          <w:lang w:eastAsia="zh-CN"/>
        </w:rPr>
        <w:drawing>
          <wp:anchor distT="0" distB="0" distL="114300" distR="114300" simplePos="0" relativeHeight="251661312" behindDoc="0" locked="0" layoutInCell="1" allowOverlap="1">
            <wp:simplePos x="0" y="0"/>
            <wp:positionH relativeFrom="column">
              <wp:posOffset>95250</wp:posOffset>
            </wp:positionH>
            <wp:positionV relativeFrom="paragraph">
              <wp:posOffset>3504565</wp:posOffset>
            </wp:positionV>
            <wp:extent cx="5038090" cy="2502535"/>
            <wp:effectExtent l="0" t="0" r="6350" b="12065"/>
            <wp:wrapTopAndBottom/>
            <wp:docPr id="28" name="图片 10" descr="9a8d111ea31f76f492188fdebb13a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0" descr="9a8d111ea31f76f492188fdebb13a96"/>
                    <pic:cNvPicPr>
                      <a:picLocks noChangeAspect="1"/>
                    </pic:cNvPicPr>
                  </pic:nvPicPr>
                  <pic:blipFill>
                    <a:blip r:embed="rId6"/>
                    <a:stretch>
                      <a:fillRect/>
                    </a:stretch>
                  </pic:blipFill>
                  <pic:spPr>
                    <a:xfrm>
                      <a:off x="0" y="0"/>
                      <a:ext cx="5038090" cy="2502535"/>
                    </a:xfrm>
                    <a:prstGeom prst="rect">
                      <a:avLst/>
                    </a:prstGeom>
                    <a:noFill/>
                    <a:ln>
                      <a:noFill/>
                    </a:ln>
                  </pic:spPr>
                </pic:pic>
              </a:graphicData>
            </a:graphic>
          </wp:anchor>
        </w:drawing>
      </w:r>
      <w:r>
        <w:rPr>
          <w:rFonts w:hint="eastAsia" w:ascii="华文仿宋" w:hAnsi="华文仿宋" w:eastAsia="华文仿宋" w:cs="华文仿宋"/>
          <w:color w:val="auto"/>
          <w:kern w:val="0"/>
          <w:sz w:val="24"/>
          <w:szCs w:val="24"/>
          <w:lang w:eastAsia="zh-CN"/>
        </w:rPr>
        <w:drawing>
          <wp:anchor distT="0" distB="0" distL="114300" distR="114300" simplePos="0" relativeHeight="251660288" behindDoc="0" locked="0" layoutInCell="1" allowOverlap="1">
            <wp:simplePos x="0" y="0"/>
            <wp:positionH relativeFrom="column">
              <wp:posOffset>104775</wp:posOffset>
            </wp:positionH>
            <wp:positionV relativeFrom="paragraph">
              <wp:posOffset>53975</wp:posOffset>
            </wp:positionV>
            <wp:extent cx="5062855" cy="3141345"/>
            <wp:effectExtent l="0" t="0" r="12065" b="13335"/>
            <wp:wrapTopAndBottom/>
            <wp:docPr id="27" name="图片 9" descr="9170ebe1fc6d99511d118259c3ddd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 descr="9170ebe1fc6d99511d118259c3ddd51"/>
                    <pic:cNvPicPr>
                      <a:picLocks noChangeAspect="1"/>
                    </pic:cNvPicPr>
                  </pic:nvPicPr>
                  <pic:blipFill>
                    <a:blip r:embed="rId7"/>
                    <a:stretch>
                      <a:fillRect/>
                    </a:stretch>
                  </pic:blipFill>
                  <pic:spPr>
                    <a:xfrm>
                      <a:off x="0" y="0"/>
                      <a:ext cx="5062855" cy="3141345"/>
                    </a:xfrm>
                    <a:prstGeom prst="rect">
                      <a:avLst/>
                    </a:prstGeom>
                    <a:noFill/>
                    <a:ln>
                      <a:noFill/>
                    </a:ln>
                  </pic:spPr>
                </pic:pic>
              </a:graphicData>
            </a:graphic>
          </wp:anchor>
        </w:drawing>
      </w:r>
      <w:r>
        <w:rPr>
          <w:rFonts w:hint="eastAsia" w:ascii="华文仿宋" w:hAnsi="华文仿宋" w:eastAsia="华文仿宋" w:cs="华文仿宋"/>
          <w:color w:val="auto"/>
          <w:kern w:val="0"/>
          <w:sz w:val="24"/>
          <w:szCs w:val="24"/>
          <w:lang w:val="en-US" w:eastAsia="zh-CN"/>
        </w:rPr>
        <w:t>专业课程体系机构图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default" w:ascii="Times New Roman" w:hAnsi="Times New Roman" w:eastAsia="仿宋_GB2312" w:cs="Times New Roman"/>
          <w:i/>
          <w:iCs/>
          <w:color w:val="auto"/>
          <w:kern w:val="0"/>
          <w:sz w:val="18"/>
          <w:szCs w:val="18"/>
        </w:rPr>
      </w:pPr>
      <w:r>
        <w:rPr>
          <w:rFonts w:hint="eastAsia" w:ascii="华文仿宋" w:hAnsi="华文仿宋" w:eastAsia="华文仿宋" w:cs="华文仿宋"/>
          <w:color w:val="auto"/>
          <w:kern w:val="0"/>
          <w:sz w:val="24"/>
          <w:szCs w:val="24"/>
          <w:lang w:val="en-US" w:eastAsia="zh-CN"/>
        </w:rPr>
        <w:t>实践体系图</w:t>
      </w:r>
    </w:p>
    <w:p>
      <w:pPr>
        <w:spacing w:line="400" w:lineRule="exact"/>
        <w:ind w:firstLine="422" w:firstLineChars="200"/>
        <w:jc w:val="left"/>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（二）公共基础课教学内容与要求</w:t>
      </w:r>
    </w:p>
    <w:p>
      <w:pPr>
        <w:pStyle w:val="5"/>
        <w:keepNext/>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 xml:space="preserve">表 </w:t>
      </w:r>
      <w:r>
        <w:rPr>
          <w:rFonts w:hint="default" w:ascii="Times New Roman" w:hAnsi="Times New Roman" w:eastAsia="宋体" w:cs="Times New Roman"/>
          <w:b/>
          <w:bCs/>
          <w:color w:val="auto"/>
          <w:sz w:val="18"/>
          <w:szCs w:val="18"/>
        </w:rPr>
        <w:fldChar w:fldCharType="begin"/>
      </w:r>
      <w:r>
        <w:rPr>
          <w:rFonts w:hint="default" w:ascii="Times New Roman" w:hAnsi="Times New Roman" w:eastAsia="宋体" w:cs="Times New Roman"/>
          <w:b/>
          <w:bCs/>
          <w:color w:val="auto"/>
          <w:sz w:val="18"/>
          <w:szCs w:val="18"/>
        </w:rPr>
        <w:instrText xml:space="preserve"> SEQ 表 \* ARABIC </w:instrText>
      </w:r>
      <w:r>
        <w:rPr>
          <w:rFonts w:hint="default" w:ascii="Times New Roman" w:hAnsi="Times New Roman" w:eastAsia="宋体" w:cs="Times New Roman"/>
          <w:b/>
          <w:bCs/>
          <w:color w:val="auto"/>
          <w:sz w:val="18"/>
          <w:szCs w:val="18"/>
        </w:rPr>
        <w:fldChar w:fldCharType="separate"/>
      </w:r>
      <w:r>
        <w:rPr>
          <w:rFonts w:hint="default" w:ascii="Times New Roman" w:hAnsi="Times New Roman" w:eastAsia="宋体" w:cs="Times New Roman"/>
          <w:b/>
          <w:bCs/>
          <w:color w:val="auto"/>
          <w:sz w:val="18"/>
          <w:szCs w:val="18"/>
        </w:rPr>
        <w:t>4</w:t>
      </w:r>
      <w:r>
        <w:rPr>
          <w:rFonts w:hint="default" w:ascii="Times New Roman" w:hAnsi="Times New Roman" w:eastAsia="宋体" w:cs="Times New Roman"/>
          <w:b/>
          <w:bCs/>
          <w:color w:val="auto"/>
          <w:sz w:val="18"/>
          <w:szCs w:val="18"/>
        </w:rPr>
        <w:fldChar w:fldCharType="end"/>
      </w:r>
      <w:r>
        <w:rPr>
          <w:rFonts w:hint="default" w:ascii="Times New Roman" w:hAnsi="Times New Roman" w:eastAsia="宋体" w:cs="Times New Roman"/>
          <w:b/>
          <w:bCs/>
          <w:color w:val="auto"/>
          <w:sz w:val="18"/>
          <w:szCs w:val="18"/>
        </w:rPr>
        <w:t xml:space="preserve"> 公共基础课</w:t>
      </w:r>
      <w:r>
        <w:rPr>
          <w:rFonts w:hint="eastAsia" w:ascii="Times New Roman" w:hAnsi="Times New Roman" w:eastAsia="宋体" w:cs="Times New Roman"/>
          <w:b/>
          <w:bCs/>
          <w:color w:val="auto"/>
          <w:sz w:val="18"/>
          <w:szCs w:val="18"/>
          <w:lang w:val="en-US" w:eastAsia="zh-CN"/>
        </w:rPr>
        <w:t>主要</w:t>
      </w:r>
      <w:r>
        <w:rPr>
          <w:rFonts w:hint="default" w:ascii="Times New Roman" w:hAnsi="Times New Roman" w:eastAsia="宋体" w:cs="Times New Roman"/>
          <w:b/>
          <w:bCs/>
          <w:color w:val="auto"/>
          <w:sz w:val="18"/>
          <w:szCs w:val="18"/>
        </w:rPr>
        <w:t>教学内容与要求</w:t>
      </w:r>
    </w:p>
    <w:tbl>
      <w:tblPr>
        <w:tblStyle w:val="8"/>
        <w:tblpPr w:leftFromText="180" w:rightFromText="180" w:vertAnchor="text" w:horzAnchor="page" w:tblpX="1421" w:tblpY="297"/>
        <w:tblOverlap w:val="never"/>
        <w:tblW w:w="92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020"/>
        <w:gridCol w:w="6465"/>
        <w:gridCol w:w="1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l2br w:val="nil"/>
              <w:tr2bl w:val="nil"/>
            </w:tcBorders>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序号</w:t>
            </w:r>
          </w:p>
        </w:tc>
        <w:tc>
          <w:tcPr>
            <w:tcW w:w="1020" w:type="dxa"/>
            <w:tcBorders>
              <w:tl2br w:val="nil"/>
              <w:tr2bl w:val="nil"/>
            </w:tcBorders>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课程名称</w:t>
            </w:r>
          </w:p>
        </w:tc>
        <w:tc>
          <w:tcPr>
            <w:tcW w:w="6465" w:type="dxa"/>
            <w:tcBorders>
              <w:tl2br w:val="nil"/>
              <w:tr2bl w:val="nil"/>
            </w:tcBorders>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主要内容要求</w:t>
            </w:r>
          </w:p>
        </w:tc>
        <w:tc>
          <w:tcPr>
            <w:tcW w:w="1120" w:type="dxa"/>
            <w:tcBorders>
              <w:tl2br w:val="nil"/>
              <w:tr2bl w:val="nil"/>
            </w:tcBorders>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学分/学时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10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军事技能</w:t>
            </w:r>
          </w:p>
        </w:tc>
        <w:tc>
          <w:tcPr>
            <w:tcW w:w="6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354" w:firstLineChars="196"/>
              <w:textAlignment w:val="auto"/>
              <w:rPr>
                <w:rFonts w:hint="eastAsia" w:ascii="宋体" w:hAnsi="宋体" w:eastAsia="宋体" w:cs="宋体"/>
                <w:color w:val="auto"/>
                <w:sz w:val="18"/>
                <w:szCs w:val="18"/>
                <w:lang w:val="en-US" w:eastAsia="zh-CN"/>
              </w:rPr>
            </w:pPr>
            <w:r>
              <w:rPr>
                <w:rFonts w:hint="eastAsia" w:ascii="宋体" w:hAnsi="宋体" w:eastAsia="宋体" w:cs="宋体"/>
                <w:b/>
                <w:bCs/>
                <w:color w:val="auto"/>
                <w:sz w:val="18"/>
                <w:szCs w:val="18"/>
                <w:lang w:val="en-US" w:eastAsia="zh-CN"/>
              </w:rPr>
              <w:t>主要内容：</w:t>
            </w:r>
            <w:r>
              <w:rPr>
                <w:rFonts w:hint="eastAsia" w:ascii="宋体" w:hAnsi="宋体" w:eastAsia="宋体" w:cs="宋体"/>
                <w:color w:val="auto"/>
                <w:sz w:val="18"/>
                <w:szCs w:val="18"/>
                <w:lang w:val="en-US" w:eastAsia="zh-CN"/>
              </w:rPr>
              <w:t>内务条令、纪律条令、队列条令教育；单个军人队列动作、分队的队列动作、战术基础动作；射击与战术训练、防卫技能与战时防护训练；军体拳、战备基础与应用训练。</w:t>
            </w:r>
          </w:p>
          <w:p>
            <w:pPr>
              <w:keepNext w:val="0"/>
              <w:keepLines w:val="0"/>
              <w:pageBreakBefore w:val="0"/>
              <w:kinsoku/>
              <w:wordWrap/>
              <w:overflowPunct/>
              <w:topLinePunct w:val="0"/>
              <w:autoSpaceDE/>
              <w:autoSpaceDN/>
              <w:bidi w:val="0"/>
              <w:adjustRightInd/>
              <w:snapToGrid/>
              <w:spacing w:line="240" w:lineRule="auto"/>
              <w:ind w:firstLine="354" w:firstLineChars="196"/>
              <w:textAlignment w:val="auto"/>
              <w:rPr>
                <w:rFonts w:hint="eastAsia" w:ascii="宋体" w:hAnsi="宋体" w:eastAsia="宋体" w:cs="宋体"/>
                <w:color w:val="auto"/>
                <w:sz w:val="18"/>
                <w:szCs w:val="18"/>
              </w:rPr>
            </w:pPr>
            <w:r>
              <w:rPr>
                <w:rFonts w:hint="eastAsia" w:ascii="宋体" w:hAnsi="宋体" w:eastAsia="宋体" w:cs="宋体"/>
                <w:b/>
                <w:bCs/>
                <w:color w:val="auto"/>
                <w:sz w:val="18"/>
                <w:szCs w:val="18"/>
                <w:lang w:val="en-US" w:eastAsia="zh-CN"/>
              </w:rPr>
              <w:t>教学要求：</w:t>
            </w:r>
            <w:r>
              <w:rPr>
                <w:rFonts w:hint="eastAsia" w:ascii="宋体" w:hAnsi="宋体" w:eastAsia="宋体" w:cs="宋体"/>
                <w:color w:val="auto"/>
                <w:sz w:val="18"/>
                <w:szCs w:val="18"/>
                <w:lang w:val="en-US" w:eastAsia="zh-CN"/>
              </w:rPr>
              <w:t>掌握基本的军事技能和军事素质，有良好的体魄、严明的组织纪律性、强烈的爱国热情、善于合作的团队精神，为中国人民解放军训练后备兵员和培养预备役军官奠定基础。</w:t>
            </w:r>
          </w:p>
        </w:tc>
        <w:tc>
          <w:tcPr>
            <w:tcW w:w="11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10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军事理论</w:t>
            </w:r>
          </w:p>
        </w:tc>
        <w:tc>
          <w:tcPr>
            <w:tcW w:w="6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354" w:firstLineChars="196"/>
              <w:textAlignment w:val="auto"/>
              <w:rPr>
                <w:rFonts w:hint="eastAsia" w:ascii="宋体" w:hAnsi="宋体" w:eastAsia="宋体" w:cs="宋体"/>
                <w:color w:val="auto"/>
                <w:sz w:val="18"/>
                <w:szCs w:val="18"/>
                <w:lang w:val="en-US" w:eastAsia="zh-CN"/>
              </w:rPr>
            </w:pPr>
            <w:r>
              <w:rPr>
                <w:rFonts w:hint="eastAsia" w:ascii="宋体" w:hAnsi="宋体" w:eastAsia="宋体" w:cs="宋体"/>
                <w:b/>
                <w:bCs/>
                <w:color w:val="auto"/>
                <w:sz w:val="18"/>
                <w:szCs w:val="18"/>
                <w:lang w:val="en-US" w:eastAsia="zh-CN"/>
              </w:rPr>
              <w:t>主要内容</w:t>
            </w:r>
            <w:r>
              <w:rPr>
                <w:rFonts w:hint="eastAsia" w:ascii="宋体" w:hAnsi="宋体" w:eastAsia="宋体" w:cs="宋体"/>
                <w:color w:val="auto"/>
                <w:sz w:val="18"/>
                <w:szCs w:val="18"/>
                <w:lang w:val="en-US" w:eastAsia="zh-CN"/>
              </w:rPr>
              <w:t>：国防法规、国防义务和权力、国防建设、武装力量和国防动员；安全形势及国际战略形势；世界新军事革命及古今中外军事思想；新军事革命、机械化战争和信息化战争；信息化装备、信息化作战平台、综合电子信息系统和信息化杀伤武器。</w:t>
            </w:r>
          </w:p>
          <w:p>
            <w:pPr>
              <w:keepNext w:val="0"/>
              <w:keepLines w:val="0"/>
              <w:pageBreakBefore w:val="0"/>
              <w:kinsoku/>
              <w:wordWrap/>
              <w:overflowPunct/>
              <w:topLinePunct w:val="0"/>
              <w:autoSpaceDE/>
              <w:autoSpaceDN/>
              <w:bidi w:val="0"/>
              <w:adjustRightInd/>
              <w:snapToGrid/>
              <w:spacing w:line="240" w:lineRule="auto"/>
              <w:ind w:firstLine="354" w:firstLineChars="196"/>
              <w:textAlignment w:val="auto"/>
              <w:rPr>
                <w:rFonts w:hint="eastAsia" w:ascii="宋体" w:hAnsi="宋体" w:eastAsia="宋体" w:cs="宋体"/>
                <w:color w:val="auto"/>
                <w:sz w:val="18"/>
                <w:szCs w:val="18"/>
              </w:rPr>
            </w:pPr>
            <w:r>
              <w:rPr>
                <w:rFonts w:hint="eastAsia" w:ascii="宋体" w:hAnsi="宋体" w:eastAsia="宋体" w:cs="宋体"/>
                <w:b/>
                <w:bCs/>
                <w:color w:val="auto"/>
                <w:sz w:val="18"/>
                <w:szCs w:val="18"/>
                <w:lang w:val="en-US" w:eastAsia="zh-CN"/>
              </w:rPr>
              <w:t>教学要求</w:t>
            </w:r>
            <w:r>
              <w:rPr>
                <w:rFonts w:hint="eastAsia" w:ascii="宋体" w:hAnsi="宋体" w:eastAsia="宋体" w:cs="宋体"/>
                <w:color w:val="auto"/>
                <w:sz w:val="18"/>
                <w:szCs w:val="18"/>
                <w:lang w:val="en-US" w:eastAsia="zh-CN"/>
              </w:rPr>
              <w:t>：掌握军事基础知识，增强国防观念、国家安全意识和忧患危机意识，弘扬爱国主义精神、传承红色基因，增强爱国主义，民族主义、集体主义观念，加强纪律性，提高学生综合国防素质。</w:t>
            </w:r>
          </w:p>
        </w:tc>
        <w:tc>
          <w:tcPr>
            <w:tcW w:w="11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10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思想道德与</w:t>
            </w:r>
            <w:r>
              <w:rPr>
                <w:rFonts w:hint="eastAsia" w:ascii="宋体" w:hAnsi="宋体" w:eastAsia="宋体" w:cs="宋体"/>
                <w:color w:val="auto"/>
                <w:sz w:val="18"/>
                <w:szCs w:val="18"/>
                <w:lang w:val="en-US" w:eastAsia="zh-CN"/>
              </w:rPr>
              <w:t>法治</w:t>
            </w:r>
          </w:p>
        </w:tc>
        <w:tc>
          <w:tcPr>
            <w:tcW w:w="64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361" w:firstLineChars="200"/>
              <w:jc w:val="both"/>
              <w:textAlignment w:val="auto"/>
              <w:rPr>
                <w:rFonts w:hint="eastAsia" w:ascii="宋体" w:hAnsi="宋体" w:eastAsia="宋体" w:cs="宋体"/>
                <w:color w:val="auto"/>
                <w:kern w:val="2"/>
                <w:sz w:val="18"/>
                <w:szCs w:val="18"/>
                <w:lang w:val="en-US" w:eastAsia="zh-CN" w:bidi="ar"/>
              </w:rPr>
            </w:pPr>
            <w:r>
              <w:rPr>
                <w:rFonts w:hint="eastAsia" w:ascii="宋体" w:hAnsi="宋体" w:eastAsia="宋体" w:cs="宋体"/>
                <w:b/>
                <w:bCs/>
                <w:color w:val="auto"/>
                <w:sz w:val="18"/>
                <w:szCs w:val="18"/>
                <w:lang w:val="en-US" w:eastAsia="zh-CN"/>
              </w:rPr>
              <w:t>主要内容：</w:t>
            </w:r>
            <w:r>
              <w:rPr>
                <w:rFonts w:hint="eastAsia" w:ascii="宋体" w:hAnsi="宋体" w:eastAsia="宋体" w:cs="宋体"/>
                <w:color w:val="auto"/>
                <w:kern w:val="2"/>
                <w:sz w:val="18"/>
                <w:szCs w:val="18"/>
                <w:lang w:val="en-US" w:eastAsia="zh-CN" w:bidi="ar"/>
              </w:rPr>
              <w:t>马克思主义的人生观、价值观、道德观、法治观，社会主义核心价值观与社会主义法治建设的关系，帮助学生筑牢理想信念之基，培育和践行社会主义核心价值观，传承中华传统美德，弘扬中国精神，尊重和维护宪法法律权威，提升思想道德素质和法治素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361" w:firstLineChars="200"/>
              <w:jc w:val="both"/>
              <w:textAlignment w:val="auto"/>
              <w:rPr>
                <w:rFonts w:hint="eastAsia" w:ascii="宋体" w:hAnsi="宋体" w:eastAsia="宋体" w:cs="宋体"/>
                <w:color w:val="auto"/>
                <w:sz w:val="18"/>
                <w:szCs w:val="18"/>
              </w:rPr>
            </w:pPr>
            <w:r>
              <w:rPr>
                <w:rFonts w:hint="eastAsia" w:ascii="宋体" w:hAnsi="宋体" w:eastAsia="宋体" w:cs="宋体"/>
                <w:b/>
                <w:bCs/>
                <w:color w:val="auto"/>
                <w:sz w:val="18"/>
                <w:szCs w:val="18"/>
                <w:lang w:val="en-US" w:eastAsia="zh-CN"/>
              </w:rPr>
              <w:t>教学要求</w:t>
            </w:r>
            <w:r>
              <w:rPr>
                <w:rFonts w:hint="eastAsia" w:ascii="宋体" w:hAnsi="宋体" w:eastAsia="宋体" w:cs="宋体"/>
                <w:color w:val="auto"/>
                <w:sz w:val="18"/>
                <w:szCs w:val="18"/>
                <w:lang w:val="en-US" w:eastAsia="zh-CN"/>
              </w:rPr>
              <w:t>：</w:t>
            </w:r>
            <w:r>
              <w:rPr>
                <w:rFonts w:hint="eastAsia" w:ascii="宋体" w:hAnsi="宋体" w:eastAsia="宋体" w:cs="宋体"/>
                <w:color w:val="auto"/>
                <w:kern w:val="2"/>
                <w:sz w:val="18"/>
                <w:szCs w:val="18"/>
                <w:lang w:val="en-US" w:eastAsia="zh-CN" w:bidi="ar"/>
              </w:rPr>
              <w:t>针对大学生成长过程中面临的思想道德与法治问题，开展马克思主义的人生观、价值观、道德观、法治观教育，帮助大学生提升思想道德素质和法治素养，成长为自觉担当民族复兴大任的时代新人。</w:t>
            </w:r>
          </w:p>
        </w:tc>
        <w:tc>
          <w:tcPr>
            <w:tcW w:w="11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4</w:t>
            </w:r>
          </w:p>
        </w:tc>
        <w:tc>
          <w:tcPr>
            <w:tcW w:w="10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毛泽东思想和中国特色社会主义理论体系概论</w:t>
            </w:r>
          </w:p>
        </w:tc>
        <w:tc>
          <w:tcPr>
            <w:tcW w:w="64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361" w:firstLineChars="200"/>
              <w:jc w:val="both"/>
              <w:textAlignment w:val="auto"/>
              <w:rPr>
                <w:rFonts w:hint="eastAsia" w:ascii="宋体" w:hAnsi="宋体" w:eastAsia="宋体" w:cs="宋体"/>
                <w:color w:val="auto"/>
                <w:kern w:val="2"/>
                <w:sz w:val="18"/>
                <w:szCs w:val="18"/>
                <w:lang w:val="en-US" w:eastAsia="zh-CN" w:bidi="ar"/>
              </w:rPr>
            </w:pPr>
            <w:r>
              <w:rPr>
                <w:rFonts w:hint="eastAsia" w:ascii="宋体" w:hAnsi="宋体" w:eastAsia="宋体" w:cs="宋体"/>
                <w:b/>
                <w:bCs/>
                <w:color w:val="auto"/>
                <w:kern w:val="2"/>
                <w:sz w:val="18"/>
                <w:szCs w:val="18"/>
                <w:lang w:val="en-US" w:eastAsia="zh-CN" w:bidi="ar"/>
              </w:rPr>
              <w:t>主要内容：</w:t>
            </w:r>
            <w:r>
              <w:rPr>
                <w:rFonts w:hint="eastAsia" w:ascii="宋体" w:hAnsi="宋体" w:eastAsia="宋体" w:cs="宋体"/>
                <w:color w:val="auto"/>
                <w:kern w:val="2"/>
                <w:sz w:val="18"/>
                <w:szCs w:val="18"/>
                <w:lang w:val="en-US" w:eastAsia="zh-CN" w:bidi="ar"/>
              </w:rPr>
              <w:t>以马克思主义中国化为主线，集中阐述马克思主义中国化理论成果的形成过程、主要内容、精神实质、历史地位和指导意义，充分反映中国共产党不断推进马克思主义基本原理同中国具体实际相结合、同中华优秀传统文化相结合的历史进程和基本经验。以马克思主义中国化最新成果为重点，全面把握中国特色社会主义进入新时代，系统阐释习近平新时代中国特色社会主义思想的主要内容和历史地位，充分反映实现全面建设社会主义现代化强国、中华民族伟大复兴中国梦的战略部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361" w:firstLineChars="200"/>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b/>
                <w:bCs/>
                <w:color w:val="auto"/>
                <w:sz w:val="18"/>
                <w:szCs w:val="18"/>
                <w:lang w:val="en-US" w:eastAsia="zh-CN"/>
              </w:rPr>
              <w:t>教学要求</w:t>
            </w:r>
            <w:r>
              <w:rPr>
                <w:rFonts w:hint="eastAsia" w:ascii="宋体" w:hAnsi="宋体" w:eastAsia="宋体" w:cs="宋体"/>
                <w:color w:val="auto"/>
                <w:sz w:val="18"/>
                <w:szCs w:val="18"/>
                <w:lang w:val="en-US" w:eastAsia="zh-CN"/>
              </w:rPr>
              <w:t>：</w:t>
            </w:r>
            <w:r>
              <w:rPr>
                <w:rFonts w:hint="eastAsia" w:ascii="宋体" w:hAnsi="宋体" w:eastAsia="宋体" w:cs="宋体"/>
                <w:color w:val="auto"/>
                <w:kern w:val="2"/>
                <w:sz w:val="18"/>
                <w:szCs w:val="18"/>
                <w:lang w:val="en-US" w:eastAsia="zh-CN" w:bidi="ar"/>
              </w:rPr>
              <w:t>准确把握马克思主义中国化进程中形成的理论成果及其精神实质；加深学生对中国共产党领导人民进行的革命、建设、改革的历史进程、历史变革、历史成就的更深刻认识；对中国共产党在新时代坚持的基本理论、基本路线、基本方略有更加透彻的理解；对运用马克思主义立场、观点和方法认识问题、分析问题和解决问题能力的提升有更加切实的帮助。</w:t>
            </w:r>
          </w:p>
        </w:tc>
        <w:tc>
          <w:tcPr>
            <w:tcW w:w="11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5</w:t>
            </w:r>
          </w:p>
        </w:tc>
        <w:tc>
          <w:tcPr>
            <w:tcW w:w="10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习近平新时代中国</w:t>
            </w:r>
            <w:r>
              <w:rPr>
                <w:rFonts w:hint="eastAsia" w:ascii="宋体" w:hAnsi="宋体" w:eastAsia="宋体" w:cs="宋体"/>
                <w:color w:val="auto"/>
                <w:sz w:val="18"/>
                <w:szCs w:val="18"/>
              </w:rPr>
              <w:t>特色社会主义</w:t>
            </w:r>
            <w:r>
              <w:rPr>
                <w:rFonts w:hint="eastAsia" w:ascii="宋体" w:hAnsi="宋体" w:eastAsia="宋体" w:cs="宋体"/>
                <w:color w:val="auto"/>
                <w:sz w:val="18"/>
                <w:szCs w:val="18"/>
                <w:lang w:val="en-US" w:eastAsia="zh-CN"/>
              </w:rPr>
              <w:t>思想</w:t>
            </w:r>
            <w:r>
              <w:rPr>
                <w:rFonts w:hint="eastAsia" w:ascii="宋体" w:hAnsi="宋体" w:eastAsia="宋体" w:cs="宋体"/>
                <w:color w:val="auto"/>
                <w:sz w:val="18"/>
                <w:szCs w:val="18"/>
              </w:rPr>
              <w:t>概论</w:t>
            </w:r>
          </w:p>
        </w:tc>
        <w:tc>
          <w:tcPr>
            <w:tcW w:w="64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361" w:firstLineChars="200"/>
              <w:textAlignment w:val="auto"/>
              <w:rPr>
                <w:rFonts w:hint="eastAsia" w:ascii="宋体" w:hAnsi="宋体" w:eastAsia="宋体" w:cs="宋体"/>
                <w:color w:val="auto"/>
                <w:sz w:val="18"/>
                <w:szCs w:val="18"/>
                <w:lang w:bidi="ar"/>
              </w:rPr>
            </w:pPr>
            <w:r>
              <w:rPr>
                <w:rFonts w:hint="eastAsia" w:ascii="宋体" w:hAnsi="宋体" w:eastAsia="宋体" w:cs="宋体"/>
                <w:b/>
                <w:bCs/>
                <w:color w:val="auto"/>
                <w:sz w:val="18"/>
                <w:szCs w:val="18"/>
                <w:lang w:bidi="ar"/>
              </w:rPr>
              <w:t>主要内容：</w:t>
            </w:r>
            <w:r>
              <w:rPr>
                <w:rFonts w:hint="eastAsia" w:ascii="宋体" w:hAnsi="宋体" w:eastAsia="宋体" w:cs="宋体"/>
                <w:color w:val="auto"/>
                <w:sz w:val="18"/>
                <w:szCs w:val="18"/>
                <w:lang w:bidi="ar"/>
              </w:rPr>
              <w:t>以马克思主义中国化为主线，集中阐述马克思主义中国化理论成果的形成过程、主要内容、精神实质、历史地位和指导意义，充分反映中国共产党不断推进马克思主义基本原理同中国具体实际相结合、同中华优秀传统文化相结合的历史进程和基本经验。以马克思主义中国化最新成果为重点，全面把握中国特色社会主义进入新时代，系统阐释习近平新时代中国特色社会主义思想的主要内容和历史地位，充分反映实现全面建设社会主义现代化强国、中华民族伟大复兴中国梦的战略部署。</w:t>
            </w:r>
          </w:p>
          <w:p>
            <w:pPr>
              <w:keepNext w:val="0"/>
              <w:keepLines w:val="0"/>
              <w:pageBreakBefore w:val="0"/>
              <w:kinsoku/>
              <w:wordWrap/>
              <w:overflowPunct/>
              <w:topLinePunct w:val="0"/>
              <w:autoSpaceDE/>
              <w:autoSpaceDN/>
              <w:bidi w:val="0"/>
              <w:adjustRightInd/>
              <w:snapToGrid/>
              <w:spacing w:line="240" w:lineRule="auto"/>
              <w:ind w:firstLine="361" w:firstLineChars="200"/>
              <w:textAlignment w:val="auto"/>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sz w:val="18"/>
                <w:szCs w:val="18"/>
              </w:rPr>
              <w:t>教学要求</w:t>
            </w:r>
            <w:r>
              <w:rPr>
                <w:rFonts w:hint="eastAsia" w:ascii="宋体" w:hAnsi="宋体" w:eastAsia="宋体" w:cs="宋体"/>
                <w:color w:val="auto"/>
                <w:sz w:val="18"/>
                <w:szCs w:val="18"/>
              </w:rPr>
              <w:t>：</w:t>
            </w:r>
            <w:r>
              <w:rPr>
                <w:rFonts w:hint="eastAsia" w:ascii="宋体" w:hAnsi="宋体" w:eastAsia="宋体" w:cs="宋体"/>
                <w:color w:val="auto"/>
                <w:sz w:val="18"/>
                <w:szCs w:val="18"/>
                <w:lang w:bidi="ar"/>
              </w:rPr>
              <w:t>准确把握马克思主义中国化进程中形成的理论成果及其精神实质；加深学生对中国共产党领导人民进行的革命、建设、改革的历史进程、历史变革、历史成就的更深刻认识；对中国共产党在新时代坚持的基本理论、基本路线、基本方略有更加透彻的理解；对运用马克思主义立场、观点和方法认识问题、分析问题和解决问题能力的提升有更加切实的帮助。</w:t>
            </w:r>
          </w:p>
        </w:tc>
        <w:tc>
          <w:tcPr>
            <w:tcW w:w="11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3/48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10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形势与政策</w:t>
            </w:r>
          </w:p>
        </w:tc>
        <w:tc>
          <w:tcPr>
            <w:tcW w:w="64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354" w:firstLineChars="196"/>
              <w:textAlignment w:val="auto"/>
              <w:rPr>
                <w:rFonts w:hint="eastAsia" w:ascii="宋体" w:hAnsi="宋体" w:eastAsia="宋体" w:cs="宋体"/>
                <w:color w:val="auto"/>
                <w:sz w:val="18"/>
                <w:szCs w:val="18"/>
                <w:lang w:val="en-US" w:eastAsia="zh-CN"/>
              </w:rPr>
            </w:pPr>
            <w:r>
              <w:rPr>
                <w:rFonts w:hint="eastAsia" w:ascii="宋体" w:hAnsi="宋体" w:eastAsia="宋体" w:cs="宋体"/>
                <w:b/>
                <w:bCs/>
                <w:color w:val="auto"/>
                <w:sz w:val="18"/>
                <w:szCs w:val="18"/>
                <w:lang w:val="en-US" w:eastAsia="zh-CN"/>
              </w:rPr>
              <w:t>主要内容：</w:t>
            </w:r>
            <w:r>
              <w:rPr>
                <w:rFonts w:hint="eastAsia" w:ascii="宋体" w:hAnsi="宋体" w:eastAsia="宋体" w:cs="宋体"/>
                <w:color w:val="auto"/>
                <w:sz w:val="18"/>
                <w:szCs w:val="18"/>
                <w:lang w:val="en-US" w:eastAsia="zh-CN"/>
              </w:rPr>
              <w:t>党的理论创新最新成果，新时代坚持和发展中国特色社会主义的生动实践，马克思主义形势观政策观、党的路线方针政策、基本国情、国内外形势及其热点难点问题。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354" w:firstLineChars="196"/>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b/>
                <w:bCs/>
                <w:color w:val="auto"/>
                <w:sz w:val="18"/>
                <w:szCs w:val="18"/>
                <w:lang w:val="en-US" w:eastAsia="zh-CN"/>
              </w:rPr>
              <w:t>教学要求</w:t>
            </w:r>
            <w:r>
              <w:rPr>
                <w:rFonts w:hint="eastAsia" w:ascii="宋体" w:hAnsi="宋体" w:eastAsia="宋体" w:cs="宋体"/>
                <w:color w:val="auto"/>
                <w:sz w:val="18"/>
                <w:szCs w:val="18"/>
                <w:lang w:val="en-US" w:eastAsia="zh-CN"/>
              </w:rPr>
              <w:t>：正确认识党和国家面临的形势和任务，正确认识国情，理解党的路线、方针和政策。具有一定正确分析和认识当前国内外形势的分辨能力和判断能力，坚定走中国特色社会主义道路的信心和决心。</w:t>
            </w:r>
          </w:p>
        </w:tc>
        <w:tc>
          <w:tcPr>
            <w:tcW w:w="11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w:t>
            </w:r>
          </w:p>
        </w:tc>
        <w:tc>
          <w:tcPr>
            <w:tcW w:w="10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大学生心理健康教育</w:t>
            </w:r>
          </w:p>
        </w:tc>
        <w:tc>
          <w:tcPr>
            <w:tcW w:w="6465"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361" w:firstLineChars="200"/>
              <w:textAlignment w:val="auto"/>
              <w:rPr>
                <w:rFonts w:hint="eastAsia" w:ascii="宋体" w:hAnsi="宋体" w:eastAsia="宋体" w:cs="宋体"/>
                <w:color w:val="auto"/>
                <w:sz w:val="18"/>
                <w:szCs w:val="18"/>
                <w:lang w:val="en-US" w:eastAsia="zh-CN"/>
              </w:rPr>
            </w:pPr>
            <w:r>
              <w:rPr>
                <w:rFonts w:hint="eastAsia" w:ascii="宋体" w:hAnsi="宋体" w:eastAsia="宋体" w:cs="宋体"/>
                <w:b/>
                <w:bCs/>
                <w:color w:val="auto"/>
                <w:sz w:val="18"/>
                <w:szCs w:val="18"/>
                <w:lang w:val="en-US" w:eastAsia="zh-CN"/>
              </w:rPr>
              <w:t>主要内容：</w:t>
            </w:r>
            <w:r>
              <w:rPr>
                <w:rFonts w:hint="eastAsia" w:ascii="宋体" w:hAnsi="宋体" w:eastAsia="宋体" w:cs="宋体"/>
                <w:color w:val="auto"/>
                <w:sz w:val="18"/>
                <w:szCs w:val="18"/>
                <w:lang w:val="en-US" w:eastAsia="zh-CN"/>
              </w:rPr>
              <w:t>包括情绪管理、压力管理、生命教育、心理危机应对以及逆境与成长等主题，涵盖大学生认知与探索、调试与应对、发展与提升等方面内容，由心理现象和心理过程引入心理健康教育的概念等，让学生学会学习，学会生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361"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b/>
                <w:bCs/>
                <w:color w:val="auto"/>
                <w:sz w:val="18"/>
                <w:szCs w:val="18"/>
                <w:lang w:val="en-US" w:eastAsia="zh-CN"/>
              </w:rPr>
              <w:t>教学要求</w:t>
            </w:r>
            <w:r>
              <w:rPr>
                <w:rFonts w:hint="eastAsia" w:ascii="宋体" w:hAnsi="宋体" w:eastAsia="宋体" w:cs="宋体"/>
                <w:color w:val="auto"/>
                <w:sz w:val="18"/>
                <w:szCs w:val="18"/>
                <w:lang w:val="en-US" w:eastAsia="zh-CN"/>
              </w:rPr>
              <w:t>：使学生明确心理健康的标准及意义，了解大学阶段人的心理发展特征及</w:t>
            </w:r>
            <w:r>
              <w:rPr>
                <w:rFonts w:hint="eastAsia" w:ascii="宋体" w:hAnsi="宋体" w:eastAsia="宋体" w:cs="宋体"/>
                <w:color w:val="auto"/>
                <w:sz w:val="18"/>
                <w:szCs w:val="18"/>
                <w:lang w:eastAsia="zh-CN"/>
              </w:rPr>
              <w:t>常见的心理问题表现</w:t>
            </w:r>
            <w:r>
              <w:rPr>
                <w:rFonts w:hint="eastAsia" w:ascii="宋体" w:hAnsi="宋体" w:eastAsia="宋体" w:cs="宋体"/>
                <w:color w:val="auto"/>
                <w:sz w:val="18"/>
                <w:szCs w:val="18"/>
                <w:lang w:val="en-US" w:eastAsia="zh-CN"/>
              </w:rPr>
              <w:t>，掌握自我调适的基本知识；使学生掌握自我探索技能，心理调适技能及心理发展技能，正确认识自我、完善自我、发展自我、优化心理素质，提高心理水平，促进全面发展。</w:t>
            </w:r>
          </w:p>
        </w:tc>
        <w:tc>
          <w:tcPr>
            <w:tcW w:w="11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10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180" w:firstLineChars="1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体育</w:t>
            </w:r>
          </w:p>
        </w:tc>
        <w:tc>
          <w:tcPr>
            <w:tcW w:w="6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361" w:firstLineChars="200"/>
              <w:textAlignment w:val="auto"/>
              <w:rPr>
                <w:rFonts w:hint="eastAsia" w:ascii="宋体" w:hAnsi="宋体" w:eastAsia="宋体" w:cs="宋体"/>
                <w:color w:val="auto"/>
                <w:sz w:val="18"/>
                <w:szCs w:val="18"/>
                <w:lang w:val="en-US" w:eastAsia="zh-CN"/>
              </w:rPr>
            </w:pPr>
            <w:r>
              <w:rPr>
                <w:rFonts w:hint="eastAsia" w:ascii="宋体" w:hAnsi="宋体" w:eastAsia="宋体" w:cs="宋体"/>
                <w:b/>
                <w:bCs/>
                <w:color w:val="auto"/>
                <w:sz w:val="18"/>
                <w:szCs w:val="18"/>
                <w:lang w:val="en-US" w:eastAsia="zh-CN"/>
              </w:rPr>
              <w:t>主要内容：</w:t>
            </w:r>
            <w:r>
              <w:rPr>
                <w:rFonts w:hint="eastAsia" w:ascii="宋体" w:hAnsi="宋体" w:eastAsia="宋体" w:cs="宋体"/>
                <w:color w:val="auto"/>
                <w:sz w:val="18"/>
                <w:szCs w:val="18"/>
              </w:rPr>
              <w:t>学习基本的体育理论以及田径、球类、健美操、武术等项目的基本知识、技术、技能。</w:t>
            </w:r>
            <w:r>
              <w:rPr>
                <w:rFonts w:hint="eastAsia" w:ascii="宋体" w:hAnsi="宋体" w:eastAsia="宋体" w:cs="宋体"/>
                <w:color w:val="auto"/>
                <w:sz w:val="18"/>
                <w:szCs w:val="18"/>
                <w:lang w:val="en-US" w:eastAsia="zh-CN"/>
              </w:rPr>
              <w:t>增强学生自觉树立培养良好的职业道德及职业习惯的意识，形成敬业、守信、高效、协作、精益求精等职业道德与素质。</w:t>
            </w:r>
          </w:p>
          <w:p>
            <w:pPr>
              <w:keepNext w:val="0"/>
              <w:keepLines w:val="0"/>
              <w:pageBreakBefore w:val="0"/>
              <w:kinsoku/>
              <w:wordWrap/>
              <w:overflowPunct/>
              <w:topLinePunct w:val="0"/>
              <w:autoSpaceDE/>
              <w:autoSpaceDN/>
              <w:bidi w:val="0"/>
              <w:adjustRightInd/>
              <w:snapToGrid/>
              <w:spacing w:line="240" w:lineRule="auto"/>
              <w:ind w:firstLine="361"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b/>
                <w:bCs/>
                <w:color w:val="auto"/>
                <w:sz w:val="18"/>
                <w:szCs w:val="18"/>
                <w:lang w:val="en-US" w:eastAsia="zh-CN"/>
              </w:rPr>
              <w:t>教学要求</w:t>
            </w:r>
            <w:r>
              <w:rPr>
                <w:rFonts w:hint="eastAsia" w:ascii="宋体" w:hAnsi="宋体" w:eastAsia="宋体" w:cs="宋体"/>
                <w:color w:val="auto"/>
                <w:sz w:val="18"/>
                <w:szCs w:val="18"/>
                <w:lang w:val="en-US" w:eastAsia="zh-CN"/>
              </w:rPr>
              <w:t>：掌握运动项目的技战术理论和基本知识、运动健身的基本原理与锻炼方法、运动损伤的预防与处理；使学生能把所学理论、技战术、技能知识运用到具体身体活动中；提高学生在身体活动中观察、思维、推理、判断、分析与解决问题的能力。</w:t>
            </w:r>
          </w:p>
        </w:tc>
        <w:tc>
          <w:tcPr>
            <w:tcW w:w="11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6/108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w:t>
            </w:r>
          </w:p>
        </w:tc>
        <w:tc>
          <w:tcPr>
            <w:tcW w:w="10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劳动</w:t>
            </w:r>
            <w:r>
              <w:rPr>
                <w:rFonts w:hint="eastAsia" w:ascii="宋体" w:hAnsi="宋体" w:eastAsia="宋体" w:cs="宋体"/>
                <w:color w:val="auto"/>
                <w:sz w:val="18"/>
                <w:szCs w:val="18"/>
                <w:lang w:eastAsia="zh-CN"/>
              </w:rPr>
              <w:t>与美育</w:t>
            </w:r>
          </w:p>
        </w:tc>
        <w:tc>
          <w:tcPr>
            <w:tcW w:w="6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361" w:firstLineChars="200"/>
              <w:textAlignment w:val="auto"/>
              <w:rPr>
                <w:rFonts w:hint="eastAsia" w:ascii="宋体" w:hAnsi="宋体" w:eastAsia="宋体" w:cs="宋体"/>
                <w:color w:val="auto"/>
                <w:sz w:val="18"/>
                <w:szCs w:val="18"/>
                <w:lang w:val="en-US" w:eastAsia="zh-CN"/>
              </w:rPr>
            </w:pPr>
            <w:r>
              <w:rPr>
                <w:rFonts w:hint="eastAsia" w:ascii="宋体" w:hAnsi="宋体" w:eastAsia="宋体" w:cs="宋体"/>
                <w:b/>
                <w:bCs/>
                <w:color w:val="auto"/>
                <w:sz w:val="18"/>
                <w:szCs w:val="18"/>
                <w:lang w:val="en-US" w:eastAsia="zh-CN"/>
              </w:rPr>
              <w:t>主要内容：</w:t>
            </w:r>
            <w:r>
              <w:rPr>
                <w:rFonts w:hint="eastAsia" w:ascii="宋体" w:hAnsi="宋体" w:eastAsia="宋体" w:cs="宋体"/>
                <w:color w:val="auto"/>
                <w:sz w:val="18"/>
                <w:szCs w:val="18"/>
                <w:lang w:val="en-US" w:eastAsia="zh-CN"/>
              </w:rPr>
              <w:t>主要讲授劳动精神、劳模精神、工匠精神、劳动组织、劳动安全和劳动法规、美与审美的基本理论、自然审美、社会审美、艺术审美活动等内容。增强学生职业认同和劳动自豪感，培育爱岗敬业的劳动态度，严谨专注、精益求精、追求卓越的工匠精神，树立正确的审美观，提高审美境界、审美能力以及提高审美活动和审美教育的自觉性。</w:t>
            </w:r>
          </w:p>
          <w:p>
            <w:pPr>
              <w:keepNext w:val="0"/>
              <w:keepLines w:val="0"/>
              <w:pageBreakBefore w:val="0"/>
              <w:kinsoku/>
              <w:wordWrap/>
              <w:overflowPunct/>
              <w:topLinePunct w:val="0"/>
              <w:autoSpaceDE/>
              <w:autoSpaceDN/>
              <w:bidi w:val="0"/>
              <w:adjustRightInd/>
              <w:snapToGrid/>
              <w:spacing w:line="240" w:lineRule="auto"/>
              <w:ind w:firstLine="361"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b/>
                <w:bCs/>
                <w:color w:val="auto"/>
                <w:sz w:val="18"/>
                <w:szCs w:val="18"/>
                <w:lang w:val="en-US" w:eastAsia="zh-CN"/>
              </w:rPr>
              <w:t>教学要求</w:t>
            </w:r>
            <w:r>
              <w:rPr>
                <w:rFonts w:hint="eastAsia" w:ascii="宋体" w:hAnsi="宋体" w:eastAsia="宋体" w:cs="宋体"/>
                <w:color w:val="auto"/>
                <w:sz w:val="18"/>
                <w:szCs w:val="18"/>
                <w:lang w:val="en-US" w:eastAsia="zh-CN"/>
              </w:rPr>
              <w:t>：使学生树立正确的劳动观点和劳动态度，养成诚实守信、吃苦耐劳的劳动品质和珍惜劳动成果、杜绝浪费的消费习惯。握基本的劳动知识和技能，能够结合所学专业知识，解决实际问题。掌握基本的美学理论，具备一定的审美能力。</w:t>
            </w:r>
          </w:p>
        </w:tc>
        <w:tc>
          <w:tcPr>
            <w:tcW w:w="11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w:t>
            </w:r>
          </w:p>
        </w:tc>
        <w:tc>
          <w:tcPr>
            <w:tcW w:w="10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大学生创业基础</w:t>
            </w:r>
          </w:p>
        </w:tc>
        <w:tc>
          <w:tcPr>
            <w:tcW w:w="6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354" w:firstLineChars="196"/>
              <w:textAlignment w:val="auto"/>
              <w:rPr>
                <w:rFonts w:hint="eastAsia" w:ascii="宋体" w:hAnsi="宋体" w:eastAsia="宋体" w:cs="宋体"/>
                <w:color w:val="auto"/>
                <w:sz w:val="18"/>
                <w:szCs w:val="18"/>
                <w:lang w:val="en-US" w:eastAsia="zh-CN"/>
              </w:rPr>
            </w:pPr>
            <w:r>
              <w:rPr>
                <w:rFonts w:hint="eastAsia" w:ascii="宋体" w:hAnsi="宋体" w:eastAsia="宋体" w:cs="宋体"/>
                <w:b/>
                <w:bCs/>
                <w:color w:val="auto"/>
                <w:sz w:val="18"/>
                <w:szCs w:val="18"/>
                <w:lang w:val="en-US" w:eastAsia="zh-CN"/>
              </w:rPr>
              <w:t>主要内容：</w:t>
            </w:r>
            <w:r>
              <w:rPr>
                <w:rFonts w:hint="eastAsia" w:ascii="宋体" w:hAnsi="宋体" w:eastAsia="宋体" w:cs="宋体"/>
                <w:color w:val="auto"/>
                <w:sz w:val="18"/>
                <w:szCs w:val="18"/>
                <w:lang w:val="en-US" w:eastAsia="zh-CN"/>
              </w:rPr>
              <w:t>从创新教育</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创业教育</w:t>
            </w:r>
            <w:r>
              <w:rPr>
                <w:rFonts w:hint="eastAsia" w:ascii="宋体" w:hAnsi="宋体" w:eastAsia="宋体" w:cs="宋体"/>
                <w:color w:val="auto"/>
                <w:sz w:val="18"/>
                <w:szCs w:val="18"/>
                <w:lang w:eastAsia="zh-CN"/>
              </w:rPr>
              <w:t>和专业教育</w:t>
            </w:r>
            <w:r>
              <w:rPr>
                <w:rFonts w:hint="eastAsia" w:ascii="宋体" w:hAnsi="宋体" w:eastAsia="宋体" w:cs="宋体"/>
                <w:color w:val="auto"/>
                <w:sz w:val="18"/>
                <w:szCs w:val="18"/>
                <w:lang w:val="en-US" w:eastAsia="zh-CN"/>
              </w:rPr>
              <w:t>相融合的角度，</w:t>
            </w:r>
            <w:r>
              <w:rPr>
                <w:rFonts w:hint="eastAsia" w:ascii="宋体" w:hAnsi="宋体" w:eastAsia="宋体" w:cs="宋体"/>
                <w:color w:val="auto"/>
                <w:sz w:val="18"/>
                <w:szCs w:val="18"/>
                <w:lang w:eastAsia="zh-CN"/>
              </w:rPr>
              <w:t>通过</w:t>
            </w:r>
            <w:r>
              <w:rPr>
                <w:rFonts w:hint="eastAsia" w:ascii="宋体" w:hAnsi="宋体" w:eastAsia="宋体" w:cs="宋体"/>
                <w:color w:val="auto"/>
                <w:sz w:val="18"/>
                <w:szCs w:val="18"/>
                <w:lang w:val="en-US" w:eastAsia="zh-CN"/>
              </w:rPr>
              <w:t>创新基本理论、创业团队组建、发掘创业机会、分析创业市场、整合创业资源、推演创业项目等内容</w:t>
            </w:r>
            <w:r>
              <w:rPr>
                <w:rFonts w:hint="eastAsia" w:ascii="宋体" w:hAnsi="宋体" w:eastAsia="宋体" w:cs="宋体"/>
                <w:color w:val="auto"/>
                <w:sz w:val="18"/>
                <w:szCs w:val="18"/>
                <w:lang w:eastAsia="zh-CN"/>
              </w:rPr>
              <w:t>学习，</w:t>
            </w:r>
            <w:r>
              <w:rPr>
                <w:rFonts w:hint="eastAsia" w:ascii="宋体" w:hAnsi="宋体" w:eastAsia="宋体" w:cs="宋体"/>
                <w:color w:val="auto"/>
                <w:sz w:val="18"/>
                <w:szCs w:val="18"/>
                <w:lang w:val="en-US" w:eastAsia="zh-CN"/>
              </w:rPr>
              <w:t>使学生在参与教学过程中体验、参悟和提高创新创业能力。</w:t>
            </w:r>
          </w:p>
          <w:p>
            <w:pPr>
              <w:keepNext w:val="0"/>
              <w:keepLines w:val="0"/>
              <w:pageBreakBefore w:val="0"/>
              <w:kinsoku/>
              <w:wordWrap/>
              <w:overflowPunct/>
              <w:topLinePunct w:val="0"/>
              <w:autoSpaceDE/>
              <w:autoSpaceDN/>
              <w:bidi w:val="0"/>
              <w:adjustRightInd/>
              <w:snapToGrid/>
              <w:spacing w:line="240" w:lineRule="auto"/>
              <w:ind w:firstLine="354" w:firstLineChars="196"/>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b/>
                <w:bCs/>
                <w:color w:val="auto"/>
                <w:sz w:val="18"/>
                <w:szCs w:val="18"/>
                <w:lang w:val="en-US" w:eastAsia="zh-CN"/>
              </w:rPr>
              <w:t>教学要求</w:t>
            </w:r>
            <w:r>
              <w:rPr>
                <w:rFonts w:hint="eastAsia" w:ascii="宋体" w:hAnsi="宋体" w:eastAsia="宋体" w:cs="宋体"/>
                <w:color w:val="auto"/>
                <w:sz w:val="18"/>
                <w:szCs w:val="18"/>
                <w:lang w:val="en-US" w:eastAsia="zh-CN"/>
              </w:rPr>
              <w:t>：掌握创新创业的基本知识，熟悉创业基本流程和基本方法，了解创新创业的法律法规和相关政策，认知创新创业的基本内涵和创业活动的特殊性，全面提升学生创新创业意识、创新创业能力，增强学生社会责任感、创新精神和创业能力</w:t>
            </w:r>
            <w:r>
              <w:rPr>
                <w:rFonts w:hint="eastAsia" w:ascii="宋体" w:hAnsi="宋体" w:eastAsia="宋体" w:cs="宋体"/>
                <w:color w:val="auto"/>
                <w:sz w:val="18"/>
                <w:szCs w:val="18"/>
                <w:lang w:eastAsia="zh-CN"/>
              </w:rPr>
              <w:t>，促进创业就业和全面发展</w:t>
            </w:r>
            <w:r>
              <w:rPr>
                <w:rFonts w:hint="eastAsia" w:ascii="宋体" w:hAnsi="宋体" w:eastAsia="宋体" w:cs="宋体"/>
                <w:color w:val="auto"/>
                <w:sz w:val="18"/>
                <w:szCs w:val="18"/>
                <w:lang w:val="en-US" w:eastAsia="zh-CN"/>
              </w:rPr>
              <w:t>。</w:t>
            </w:r>
          </w:p>
        </w:tc>
        <w:tc>
          <w:tcPr>
            <w:tcW w:w="11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w:t>
            </w:r>
          </w:p>
        </w:tc>
        <w:tc>
          <w:tcPr>
            <w:tcW w:w="10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职业生涯发展规划与就业指导</w:t>
            </w:r>
          </w:p>
        </w:tc>
        <w:tc>
          <w:tcPr>
            <w:tcW w:w="6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354" w:firstLineChars="196"/>
              <w:textAlignment w:val="auto"/>
              <w:rPr>
                <w:rFonts w:hint="eastAsia" w:ascii="宋体" w:hAnsi="宋体" w:eastAsia="宋体" w:cs="宋体"/>
                <w:color w:val="auto"/>
                <w:sz w:val="18"/>
                <w:szCs w:val="18"/>
                <w:lang w:val="en-US" w:eastAsia="zh-CN"/>
              </w:rPr>
            </w:pPr>
            <w:r>
              <w:rPr>
                <w:rFonts w:hint="eastAsia" w:ascii="宋体" w:hAnsi="宋体" w:eastAsia="宋体" w:cs="宋体"/>
                <w:b/>
                <w:bCs/>
                <w:color w:val="auto"/>
                <w:sz w:val="18"/>
                <w:szCs w:val="18"/>
                <w:lang w:val="en-US" w:eastAsia="zh-CN"/>
              </w:rPr>
              <w:t>主要内容：</w:t>
            </w:r>
            <w:r>
              <w:rPr>
                <w:rFonts w:hint="eastAsia" w:ascii="宋体" w:hAnsi="宋体" w:eastAsia="宋体" w:cs="宋体"/>
                <w:color w:val="auto"/>
                <w:sz w:val="18"/>
                <w:szCs w:val="18"/>
                <w:lang w:val="en-US" w:eastAsia="zh-CN"/>
              </w:rPr>
              <w:t>自我认知、社会环境认知、科学决策的方法、确立生涯目标；了解职场与职位、掌握简历写作方法、学习面试成功经验、提升大学生的就业能力。</w:t>
            </w:r>
          </w:p>
          <w:p>
            <w:pPr>
              <w:keepNext w:val="0"/>
              <w:keepLines w:val="0"/>
              <w:pageBreakBefore w:val="0"/>
              <w:kinsoku/>
              <w:wordWrap/>
              <w:overflowPunct/>
              <w:topLinePunct w:val="0"/>
              <w:autoSpaceDE/>
              <w:autoSpaceDN/>
              <w:bidi w:val="0"/>
              <w:adjustRightInd/>
              <w:snapToGrid/>
              <w:spacing w:line="240" w:lineRule="auto"/>
              <w:ind w:firstLine="354" w:firstLineChars="196"/>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b/>
                <w:bCs/>
                <w:color w:val="auto"/>
                <w:sz w:val="18"/>
                <w:szCs w:val="18"/>
                <w:lang w:val="en-US" w:eastAsia="zh-CN"/>
              </w:rPr>
              <w:t>教学要求</w:t>
            </w:r>
            <w:r>
              <w:rPr>
                <w:rFonts w:hint="eastAsia" w:ascii="宋体" w:hAnsi="宋体" w:eastAsia="宋体" w:cs="宋体"/>
                <w:color w:val="auto"/>
                <w:sz w:val="18"/>
                <w:szCs w:val="18"/>
                <w:lang w:val="en-US" w:eastAsia="zh-CN"/>
              </w:rPr>
              <w:t>：了解和掌握职业生涯规划的基本知识。增强大学生职业生涯规划的能力，帮助大学生更好的解决职业生涯过程中遇到的问题。</w:t>
            </w:r>
          </w:p>
        </w:tc>
        <w:tc>
          <w:tcPr>
            <w:tcW w:w="11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2/40</w:t>
            </w:r>
          </w:p>
        </w:tc>
      </w:tr>
    </w:tbl>
    <w:p>
      <w:pPr>
        <w:spacing w:line="400" w:lineRule="exact"/>
        <w:ind w:firstLine="422" w:firstLineChars="200"/>
        <w:jc w:val="left"/>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（三）主要专业课教学内容与要求</w:t>
      </w:r>
    </w:p>
    <w:p>
      <w:pPr>
        <w:spacing w:line="400" w:lineRule="exact"/>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1.专业基础课程主要教学内容与要求</w:t>
      </w:r>
    </w:p>
    <w:p>
      <w:pPr>
        <w:pStyle w:val="5"/>
        <w:keepNext/>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 xml:space="preserve">表 </w:t>
      </w:r>
      <w:r>
        <w:rPr>
          <w:rFonts w:hint="default" w:ascii="Times New Roman" w:hAnsi="Times New Roman" w:eastAsia="宋体" w:cs="Times New Roman"/>
          <w:b/>
          <w:bCs/>
          <w:color w:val="auto"/>
          <w:sz w:val="18"/>
          <w:szCs w:val="18"/>
        </w:rPr>
        <w:fldChar w:fldCharType="begin"/>
      </w:r>
      <w:r>
        <w:rPr>
          <w:rFonts w:hint="default" w:ascii="Times New Roman" w:hAnsi="Times New Roman" w:eastAsia="宋体" w:cs="Times New Roman"/>
          <w:b/>
          <w:bCs/>
          <w:color w:val="auto"/>
          <w:sz w:val="18"/>
          <w:szCs w:val="18"/>
        </w:rPr>
        <w:instrText xml:space="preserve"> SEQ 表 \* ARABIC </w:instrText>
      </w:r>
      <w:r>
        <w:rPr>
          <w:rFonts w:hint="default" w:ascii="Times New Roman" w:hAnsi="Times New Roman" w:eastAsia="宋体" w:cs="Times New Roman"/>
          <w:b/>
          <w:bCs/>
          <w:color w:val="auto"/>
          <w:sz w:val="18"/>
          <w:szCs w:val="18"/>
        </w:rPr>
        <w:fldChar w:fldCharType="separate"/>
      </w:r>
      <w:r>
        <w:rPr>
          <w:rFonts w:hint="default" w:ascii="Times New Roman" w:hAnsi="Times New Roman" w:eastAsia="宋体" w:cs="Times New Roman"/>
          <w:b/>
          <w:bCs/>
          <w:color w:val="auto"/>
          <w:sz w:val="18"/>
          <w:szCs w:val="18"/>
        </w:rPr>
        <w:t>5</w:t>
      </w:r>
      <w:r>
        <w:rPr>
          <w:rFonts w:hint="default" w:ascii="Times New Roman" w:hAnsi="Times New Roman" w:eastAsia="宋体" w:cs="Times New Roman"/>
          <w:b/>
          <w:bCs/>
          <w:color w:val="auto"/>
          <w:sz w:val="18"/>
          <w:szCs w:val="18"/>
        </w:rPr>
        <w:fldChar w:fldCharType="end"/>
      </w:r>
      <w:r>
        <w:rPr>
          <w:rFonts w:hint="default" w:ascii="Times New Roman" w:hAnsi="Times New Roman" w:eastAsia="宋体" w:cs="Times New Roman"/>
          <w:b/>
          <w:bCs/>
          <w:color w:val="auto"/>
          <w:sz w:val="18"/>
          <w:szCs w:val="18"/>
        </w:rPr>
        <w:t xml:space="preserve"> </w:t>
      </w:r>
      <w:bookmarkStart w:id="2" w:name="_Hlk132978476"/>
      <w:r>
        <w:rPr>
          <w:rFonts w:hint="default" w:ascii="Times New Roman" w:hAnsi="Times New Roman" w:eastAsia="宋体" w:cs="Times New Roman"/>
          <w:b/>
          <w:bCs/>
          <w:color w:val="auto"/>
          <w:sz w:val="18"/>
          <w:szCs w:val="18"/>
        </w:rPr>
        <w:t>专业基础课主要教学内容与要求</w:t>
      </w:r>
      <w:bookmarkEnd w:id="2"/>
    </w:p>
    <w:tbl>
      <w:tblPr>
        <w:tblStyle w:val="8"/>
        <w:tblpPr w:leftFromText="180" w:rightFromText="180" w:vertAnchor="text" w:horzAnchor="page" w:tblpX="1410" w:tblpY="291"/>
        <w:tblOverlap w:val="never"/>
        <w:tblW w:w="92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0"/>
        <w:gridCol w:w="1012"/>
        <w:gridCol w:w="2159"/>
        <w:gridCol w:w="2487"/>
        <w:gridCol w:w="1874"/>
        <w:gridCol w:w="1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 w:type="dxa"/>
            <w:tcBorders>
              <w:tl2br w:val="nil"/>
              <w:tr2bl w:val="nil"/>
            </w:tcBorders>
            <w:shd w:val="clear" w:color="auto" w:fill="F1F1F1" w:themeFill="background1" w:themeFillShade="F2"/>
            <w:vAlign w:val="center"/>
          </w:tcPr>
          <w:p>
            <w:pPr>
              <w:pStyle w:val="2"/>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序号</w:t>
            </w:r>
          </w:p>
        </w:tc>
        <w:tc>
          <w:tcPr>
            <w:tcW w:w="1012" w:type="dxa"/>
            <w:tcBorders>
              <w:tl2br w:val="nil"/>
              <w:tr2bl w:val="nil"/>
            </w:tcBorders>
            <w:shd w:val="clear" w:color="auto" w:fill="F1F1F1" w:themeFill="background1" w:themeFillShade="F2"/>
            <w:vAlign w:val="center"/>
          </w:tcPr>
          <w:p>
            <w:pPr>
              <w:pStyle w:val="2"/>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课程名称</w:t>
            </w:r>
          </w:p>
        </w:tc>
        <w:tc>
          <w:tcPr>
            <w:tcW w:w="2159" w:type="dxa"/>
            <w:tcBorders>
              <w:tl2br w:val="nil"/>
              <w:tr2bl w:val="nil"/>
            </w:tcBorders>
            <w:shd w:val="clear" w:color="auto" w:fill="F1F1F1" w:themeFill="background1" w:themeFillShade="F2"/>
            <w:vAlign w:val="center"/>
          </w:tcPr>
          <w:p>
            <w:pPr>
              <w:pStyle w:val="2"/>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典型工作任务描述</w:t>
            </w:r>
          </w:p>
        </w:tc>
        <w:tc>
          <w:tcPr>
            <w:tcW w:w="2487" w:type="dxa"/>
            <w:tcBorders>
              <w:tl2br w:val="nil"/>
              <w:tr2bl w:val="nil"/>
            </w:tcBorders>
            <w:shd w:val="clear" w:color="auto" w:fill="F1F1F1" w:themeFill="background1" w:themeFillShade="F2"/>
            <w:vAlign w:val="center"/>
          </w:tcPr>
          <w:p>
            <w:pPr>
              <w:pStyle w:val="2"/>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主要教学内容与要求</w:t>
            </w:r>
          </w:p>
        </w:tc>
        <w:tc>
          <w:tcPr>
            <w:tcW w:w="1874" w:type="dxa"/>
            <w:tcBorders>
              <w:tl2br w:val="nil"/>
              <w:tr2bl w:val="nil"/>
            </w:tcBorders>
            <w:shd w:val="clear" w:color="auto" w:fill="F1F1F1" w:themeFill="background1" w:themeFillShade="F2"/>
            <w:vAlign w:val="center"/>
          </w:tcPr>
          <w:p>
            <w:pPr>
              <w:pStyle w:val="2"/>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课程思政育人</w:t>
            </w:r>
          </w:p>
        </w:tc>
        <w:tc>
          <w:tcPr>
            <w:tcW w:w="1070" w:type="dxa"/>
            <w:tcBorders>
              <w:tl2br w:val="nil"/>
              <w:tr2bl w:val="nil"/>
            </w:tcBorders>
            <w:shd w:val="clear" w:color="auto" w:fill="F1F1F1" w:themeFill="background1" w:themeFillShade="F2"/>
          </w:tcPr>
          <w:p>
            <w:pPr>
              <w:pStyle w:val="2"/>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sz w:val="18"/>
                <w:szCs w:val="18"/>
              </w:rPr>
              <w:t>学分/学时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64" w:hRule="atLeast"/>
        </w:trPr>
        <w:tc>
          <w:tcPr>
            <w:tcW w:w="680"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1012"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sz w:val="18"/>
                <w:szCs w:val="18"/>
              </w:rPr>
              <w:t>旅游</w:t>
            </w:r>
            <w:r>
              <w:rPr>
                <w:rFonts w:hint="eastAsia" w:ascii="宋体" w:hAnsi="宋体" w:eastAsia="宋体" w:cs="宋体"/>
                <w:color w:val="auto"/>
                <w:sz w:val="18"/>
                <w:szCs w:val="18"/>
                <w:lang w:val="en-US" w:eastAsia="zh-CN"/>
              </w:rPr>
              <w:t>学</w:t>
            </w:r>
            <w:r>
              <w:rPr>
                <w:rFonts w:hint="eastAsia" w:ascii="宋体" w:hAnsi="宋体" w:eastAsia="宋体" w:cs="宋体"/>
                <w:color w:val="auto"/>
                <w:sz w:val="18"/>
                <w:szCs w:val="18"/>
              </w:rPr>
              <w:t>基础</w:t>
            </w:r>
          </w:p>
        </w:tc>
        <w:tc>
          <w:tcPr>
            <w:tcW w:w="2159"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1-1认识旅游</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1-2旅游资源</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1-3旅游者</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1-4旅游产业</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1-5旅游市场</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1-6旅游组织</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1-7旅游影响</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1-8旅游业可持续发展</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kern w:val="0"/>
                <w:sz w:val="18"/>
                <w:szCs w:val="18"/>
              </w:rPr>
            </w:pPr>
          </w:p>
        </w:tc>
        <w:tc>
          <w:tcPr>
            <w:tcW w:w="248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361" w:firstLineChars="200"/>
              <w:jc w:val="left"/>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主要内容：</w:t>
            </w:r>
            <w:r>
              <w:rPr>
                <w:rFonts w:hint="eastAsia" w:ascii="宋体" w:hAnsi="宋体" w:eastAsia="宋体" w:cs="宋体"/>
                <w:color w:val="auto"/>
                <w:kern w:val="2"/>
                <w:sz w:val="18"/>
                <w:szCs w:val="18"/>
                <w:lang w:val="en-US" w:eastAsia="zh-CN" w:bidi="ar-SA"/>
              </w:rPr>
              <w:t>旅游发展的历史沿革；旅游活动的基本认识；旅游活动的主体（旅游者）的界定与类型；旅游活动的客体（旅游资源）的概念、开发与保护；发展旅游业的各要素及各要素之间的关系；旅游市场；旅游对接待地区的基本影响。</w:t>
            </w:r>
          </w:p>
          <w:p>
            <w:pPr>
              <w:keepNext w:val="0"/>
              <w:keepLines w:val="0"/>
              <w:pageBreakBefore w:val="0"/>
              <w:widowControl w:val="0"/>
              <w:kinsoku/>
              <w:wordWrap/>
              <w:overflowPunct/>
              <w:topLinePunct w:val="0"/>
              <w:autoSpaceDE/>
              <w:autoSpaceDN/>
              <w:bidi w:val="0"/>
              <w:adjustRightInd/>
              <w:snapToGrid/>
              <w:spacing w:line="240" w:lineRule="auto"/>
              <w:ind w:firstLine="361" w:firstLineChars="200"/>
              <w:jc w:val="left"/>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教学要求：</w:t>
            </w:r>
            <w:r>
              <w:rPr>
                <w:rFonts w:hint="eastAsia" w:ascii="宋体" w:hAnsi="宋体" w:eastAsia="宋体" w:cs="宋体"/>
                <w:color w:val="auto"/>
                <w:kern w:val="2"/>
                <w:sz w:val="18"/>
                <w:szCs w:val="18"/>
                <w:lang w:val="en-US" w:eastAsia="zh-CN" w:bidi="ar-SA"/>
              </w:rPr>
              <w:t>使学生了解旅游发展的历史沿革，让学生对旅游有基本的认识，使学生掌握旅游者的界定与类型、旅游资源的概念、开发与保护。</w:t>
            </w:r>
          </w:p>
        </w:tc>
        <w:tc>
          <w:tcPr>
            <w:tcW w:w="1874"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kern w:val="0"/>
                <w:sz w:val="18"/>
                <w:szCs w:val="18"/>
              </w:rPr>
            </w:pPr>
            <w:r>
              <w:rPr>
                <w:rFonts w:hint="eastAsia" w:ascii="宋体" w:hAnsi="宋体" w:eastAsia="宋体" w:cs="宋体"/>
                <w:color w:val="auto"/>
                <w:sz w:val="18"/>
                <w:szCs w:val="18"/>
              </w:rPr>
              <w:t xml:space="preserve">  通过本课程的学习培养学生的社会主义核心价值观；形成保护资源、合理开发的意识，形成人与自然和谐共生的生态文明理念；树立在旅游发展中保护与弘扬中国优秀传统文化的意识，强化民族文化自信心、自豪感；培养文明旅游、生态旅游、绿色旅游意识。</w:t>
            </w:r>
          </w:p>
        </w:tc>
        <w:tc>
          <w:tcPr>
            <w:tcW w:w="1070"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4/64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1" w:hRule="atLeast"/>
        </w:trPr>
        <w:tc>
          <w:tcPr>
            <w:tcW w:w="680"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w:t>
            </w:r>
          </w:p>
        </w:tc>
        <w:tc>
          <w:tcPr>
            <w:tcW w:w="101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管理学基础</w:t>
            </w:r>
          </w:p>
        </w:tc>
        <w:tc>
          <w:tcPr>
            <w:tcW w:w="2159"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w:t>
            </w:r>
            <w:r>
              <w:rPr>
                <w:rFonts w:hint="eastAsia" w:ascii="宋体" w:hAnsi="宋体" w:eastAsia="宋体" w:cs="宋体"/>
                <w:color w:val="auto"/>
                <w:sz w:val="18"/>
                <w:szCs w:val="18"/>
              </w:rPr>
              <w:t>利用课余时间，到当地一中小企业进行调查访问，使学生加深对管理理论的认知和管理活动的理解</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w:t>
            </w:r>
            <w:r>
              <w:rPr>
                <w:rFonts w:hint="eastAsia" w:ascii="宋体" w:hAnsi="宋体" w:eastAsia="宋体" w:cs="宋体"/>
                <w:color w:val="auto"/>
                <w:sz w:val="18"/>
                <w:szCs w:val="18"/>
              </w:rPr>
              <w:t>查找并介绍中国古代管理思想的代表人物、所属流派、主要观点、典故</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1-3</w:t>
            </w:r>
            <w:r>
              <w:rPr>
                <w:rFonts w:hint="eastAsia" w:ascii="宋体" w:hAnsi="宋体" w:eastAsia="宋体" w:cs="宋体"/>
                <w:color w:val="auto"/>
                <w:sz w:val="18"/>
                <w:szCs w:val="18"/>
              </w:rPr>
              <w:t>调查影响组织运行的环境因素</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r>
              <w:rPr>
                <w:rFonts w:hint="eastAsia" w:ascii="宋体" w:hAnsi="宋体" w:eastAsia="宋体" w:cs="宋体"/>
                <w:color w:val="auto"/>
                <w:sz w:val="18"/>
                <w:szCs w:val="18"/>
              </w:rPr>
              <w:t>用决策方法进行决策</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kern w:val="0"/>
                <w:sz w:val="18"/>
                <w:szCs w:val="18"/>
              </w:rPr>
            </w:pPr>
          </w:p>
        </w:tc>
        <w:tc>
          <w:tcPr>
            <w:tcW w:w="248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354" w:firstLineChars="196"/>
              <w:jc w:val="left"/>
              <w:textAlignment w:val="auto"/>
              <w:rPr>
                <w:rFonts w:hint="eastAsia" w:ascii="宋体" w:hAnsi="宋体" w:eastAsia="宋体" w:cs="宋体"/>
                <w:color w:val="auto"/>
                <w:sz w:val="18"/>
                <w:szCs w:val="18"/>
              </w:rPr>
            </w:pPr>
            <w:r>
              <w:rPr>
                <w:rFonts w:hint="eastAsia" w:ascii="宋体" w:hAnsi="宋体" w:eastAsia="宋体" w:cs="宋体"/>
                <w:b/>
                <w:bCs/>
                <w:color w:val="auto"/>
                <w:sz w:val="18"/>
                <w:szCs w:val="18"/>
              </w:rPr>
              <w:t>主要内容</w:t>
            </w:r>
            <w:r>
              <w:rPr>
                <w:rFonts w:hint="eastAsia" w:ascii="宋体" w:hAnsi="宋体" w:cs="宋体"/>
                <w:b/>
                <w:bCs/>
                <w:color w:val="auto"/>
                <w:sz w:val="18"/>
                <w:szCs w:val="18"/>
                <w:lang w:eastAsia="zh-CN"/>
              </w:rPr>
              <w:t>：</w:t>
            </w:r>
            <w:r>
              <w:rPr>
                <w:rFonts w:hint="eastAsia" w:ascii="宋体" w:hAnsi="宋体" w:eastAsia="宋体" w:cs="宋体"/>
                <w:color w:val="auto"/>
                <w:sz w:val="18"/>
                <w:szCs w:val="18"/>
              </w:rPr>
              <w:t>管理的基本认知；管理思想；管理环境与组织文化；管理的职能；管理创新。</w:t>
            </w:r>
          </w:p>
          <w:p>
            <w:pPr>
              <w:keepNext w:val="0"/>
              <w:keepLines w:val="0"/>
              <w:pageBreakBefore w:val="0"/>
              <w:widowControl w:val="0"/>
              <w:kinsoku/>
              <w:wordWrap/>
              <w:overflowPunct/>
              <w:topLinePunct w:val="0"/>
              <w:autoSpaceDE/>
              <w:autoSpaceDN/>
              <w:bidi w:val="0"/>
              <w:adjustRightInd/>
              <w:snapToGrid/>
              <w:spacing w:line="240" w:lineRule="auto"/>
              <w:ind w:firstLine="354" w:firstLineChars="196"/>
              <w:jc w:val="left"/>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b/>
                <w:bCs/>
                <w:color w:val="auto"/>
                <w:sz w:val="18"/>
                <w:szCs w:val="18"/>
                <w:lang w:val="en-US" w:eastAsia="zh-CN"/>
              </w:rPr>
              <w:t>教学要求</w:t>
            </w:r>
            <w:r>
              <w:rPr>
                <w:rFonts w:hint="eastAsia" w:ascii="宋体" w:hAnsi="宋体" w:eastAsia="宋体" w:cs="宋体"/>
                <w:b/>
                <w:bCs/>
                <w:color w:val="auto"/>
                <w:sz w:val="18"/>
                <w:szCs w:val="18"/>
              </w:rPr>
              <w:t>：</w:t>
            </w:r>
            <w:r>
              <w:rPr>
                <w:rFonts w:hint="eastAsia" w:ascii="宋体" w:hAnsi="宋体" w:eastAsia="宋体" w:cs="宋体"/>
                <w:color w:val="auto"/>
                <w:sz w:val="18"/>
                <w:szCs w:val="18"/>
              </w:rPr>
              <w:t>使学生掌握管理的概念与性质、管理系统、管理者与管理对象、管理机制、管理环境与组织文化等知识，使学生了解各类管理思想，让学生理解管理的各类职能（计划、组织、领导、控制），熟悉管理创新的基本内容与应用。</w:t>
            </w:r>
          </w:p>
        </w:tc>
        <w:tc>
          <w:tcPr>
            <w:tcW w:w="1874"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rPr>
              <w:t>1.引导学生践行社会主义核心价值观</w:t>
            </w:r>
            <w:r>
              <w:rPr>
                <w:rFonts w:hint="eastAsia" w:ascii="宋体" w:hAnsi="宋体" w:cs="宋体"/>
                <w:color w:val="auto"/>
                <w:sz w:val="18"/>
                <w:szCs w:val="18"/>
                <w:lang w:eastAsia="zh-CN"/>
              </w:rPr>
              <w:t>；</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2</w:t>
            </w:r>
            <w:r>
              <w:rPr>
                <w:rFonts w:hint="eastAsia" w:ascii="宋体" w:hAnsi="宋体" w:eastAsia="宋体" w:cs="宋体"/>
                <w:color w:val="auto"/>
                <w:sz w:val="18"/>
                <w:szCs w:val="18"/>
              </w:rPr>
              <w:t>.培养学生的文化自信和民族自豪感，提升学生的责任意识和爱国情怀</w:t>
            </w:r>
            <w:r>
              <w:rPr>
                <w:rFonts w:hint="eastAsia" w:ascii="宋体" w:hAnsi="宋体" w:cs="宋体"/>
                <w:color w:val="auto"/>
                <w:sz w:val="18"/>
                <w:szCs w:val="18"/>
                <w:lang w:eastAsia="zh-CN"/>
              </w:rPr>
              <w:t>；</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3</w:t>
            </w:r>
            <w:r>
              <w:rPr>
                <w:rFonts w:hint="eastAsia" w:ascii="宋体" w:hAnsi="宋体" w:eastAsia="宋体" w:cs="宋体"/>
                <w:color w:val="auto"/>
                <w:sz w:val="18"/>
                <w:szCs w:val="18"/>
              </w:rPr>
              <w:t>.使学生掌握旅游行业职业道德规范和标准</w:t>
            </w:r>
            <w:r>
              <w:rPr>
                <w:rFonts w:hint="eastAsia" w:ascii="宋体" w:hAnsi="宋体" w:cs="宋体"/>
                <w:color w:val="auto"/>
                <w:sz w:val="18"/>
                <w:szCs w:val="18"/>
                <w:lang w:eastAsia="zh-CN"/>
              </w:rPr>
              <w:t>；</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kern w:val="0"/>
                <w:sz w:val="18"/>
                <w:szCs w:val="18"/>
                <w:lang w:eastAsia="zh-CN"/>
              </w:rPr>
            </w:pPr>
            <w:r>
              <w:rPr>
                <w:rFonts w:hint="eastAsia" w:ascii="宋体" w:hAnsi="宋体" w:cs="宋体"/>
                <w:color w:val="auto"/>
                <w:sz w:val="18"/>
                <w:szCs w:val="18"/>
                <w:lang w:val="en-US" w:eastAsia="zh-CN"/>
              </w:rPr>
              <w:t>4</w:t>
            </w:r>
            <w:r>
              <w:rPr>
                <w:rFonts w:hint="eastAsia" w:ascii="宋体" w:hAnsi="宋体" w:eastAsia="宋体" w:cs="宋体"/>
                <w:color w:val="auto"/>
                <w:sz w:val="18"/>
                <w:szCs w:val="18"/>
              </w:rPr>
              <w:t>.培养学生爱岗敬业、诚信服务、团结协作的职业素养</w:t>
            </w:r>
            <w:r>
              <w:rPr>
                <w:rFonts w:hint="eastAsia" w:ascii="宋体" w:hAnsi="宋体" w:cs="宋体"/>
                <w:color w:val="auto"/>
                <w:sz w:val="18"/>
                <w:szCs w:val="18"/>
                <w:lang w:eastAsia="zh-CN"/>
              </w:rPr>
              <w:t>。</w:t>
            </w:r>
          </w:p>
        </w:tc>
        <w:tc>
          <w:tcPr>
            <w:tcW w:w="10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4/68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101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服务心理学</w:t>
            </w:r>
          </w:p>
        </w:tc>
        <w:tc>
          <w:tcPr>
            <w:tcW w:w="2159"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1.调查分析影响旅游者消费的心理因素</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1-1认知</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1-2需要和动机</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1-3情绪</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2.调查旅游工作者的心理状况</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2-1人际关系</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kern w:val="0"/>
                <w:sz w:val="18"/>
                <w:szCs w:val="18"/>
              </w:rPr>
            </w:pPr>
            <w:r>
              <w:rPr>
                <w:rFonts w:hint="eastAsia" w:ascii="宋体" w:hAnsi="宋体" w:eastAsia="宋体" w:cs="宋体"/>
                <w:color w:val="auto"/>
                <w:sz w:val="18"/>
                <w:szCs w:val="18"/>
              </w:rPr>
              <w:t>3.调查分析旅游管理中的管理心理</w:t>
            </w:r>
          </w:p>
        </w:tc>
        <w:tc>
          <w:tcPr>
            <w:tcW w:w="248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ind w:firstLine="354" w:firstLineChars="196"/>
              <w:jc w:val="left"/>
              <w:textAlignment w:val="auto"/>
              <w:rPr>
                <w:rFonts w:hint="eastAsia" w:ascii="宋体" w:hAnsi="宋体" w:eastAsia="宋体" w:cs="宋体"/>
                <w:color w:val="auto"/>
                <w:sz w:val="18"/>
                <w:szCs w:val="18"/>
              </w:rPr>
            </w:pPr>
            <w:r>
              <w:rPr>
                <w:rFonts w:hint="eastAsia" w:ascii="宋体" w:hAnsi="宋体" w:eastAsia="宋体" w:cs="宋体"/>
                <w:b/>
                <w:bCs/>
                <w:color w:val="auto"/>
                <w:sz w:val="18"/>
                <w:szCs w:val="18"/>
              </w:rPr>
              <w:t>主要内容:</w:t>
            </w:r>
            <w:r>
              <w:rPr>
                <w:rFonts w:hint="eastAsia" w:ascii="宋体" w:hAnsi="宋体" w:eastAsia="宋体" w:cs="宋体"/>
                <w:color w:val="auto"/>
                <w:sz w:val="18"/>
                <w:szCs w:val="18"/>
              </w:rPr>
              <w:t>掌握旅游者旅游知觉、旅游动机、旅游者态度、旅游者人格、旅游者情绪体验、旅游者消费决策、旅游服务心理、旅游企业员工心理等相关知识内容。</w:t>
            </w:r>
          </w:p>
          <w:p>
            <w:pPr>
              <w:keepNext w:val="0"/>
              <w:keepLines w:val="0"/>
              <w:pageBreakBefore w:val="0"/>
              <w:widowControl w:val="0"/>
              <w:kinsoku/>
              <w:wordWrap/>
              <w:overflowPunct/>
              <w:topLinePunct w:val="0"/>
              <w:autoSpaceDE/>
              <w:autoSpaceDN/>
              <w:bidi w:val="0"/>
              <w:spacing w:line="240" w:lineRule="auto"/>
              <w:ind w:firstLine="354" w:firstLineChars="196"/>
              <w:jc w:val="left"/>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b/>
                <w:bCs/>
                <w:color w:val="auto"/>
                <w:sz w:val="18"/>
                <w:szCs w:val="18"/>
                <w:lang w:val="en-US" w:eastAsia="zh-CN"/>
              </w:rPr>
              <w:t>教学要求</w:t>
            </w:r>
            <w:r>
              <w:rPr>
                <w:rFonts w:hint="eastAsia" w:ascii="宋体" w:hAnsi="宋体" w:eastAsia="宋体" w:cs="宋体"/>
                <w:b/>
                <w:bCs/>
                <w:color w:val="auto"/>
                <w:sz w:val="18"/>
                <w:szCs w:val="18"/>
              </w:rPr>
              <w:t>：</w:t>
            </w:r>
            <w:r>
              <w:rPr>
                <w:rFonts w:hint="eastAsia" w:ascii="宋体" w:hAnsi="宋体" w:eastAsia="宋体" w:cs="宋体"/>
                <w:color w:val="auto"/>
                <w:sz w:val="18"/>
                <w:szCs w:val="18"/>
              </w:rPr>
              <w:t>能运用掌握的旅游者旅游知觉、旅游动机、旅游者态度、旅游者人格、旅游者情绪体验、旅游者消费决策等相关知识内容。</w:t>
            </w:r>
          </w:p>
        </w:tc>
        <w:tc>
          <w:tcPr>
            <w:tcW w:w="1874"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让学生在掌握需要和动机、情绪、个性、态度等知识的基础上，懂得一些心理保健知识，学会处理各种人际关系，正确处理好客我关系，树立服务意识，增强职业责任感，增强爱岗敬业意识。</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kern w:val="0"/>
                <w:sz w:val="18"/>
                <w:szCs w:val="18"/>
              </w:rPr>
            </w:pPr>
          </w:p>
        </w:tc>
        <w:tc>
          <w:tcPr>
            <w:tcW w:w="10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6" w:hRule="atLeast"/>
        </w:trPr>
        <w:tc>
          <w:tcPr>
            <w:tcW w:w="680"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w:t>
            </w:r>
          </w:p>
        </w:tc>
        <w:tc>
          <w:tcPr>
            <w:tcW w:w="101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社交礼仪</w:t>
            </w:r>
          </w:p>
        </w:tc>
        <w:tc>
          <w:tcPr>
            <w:tcW w:w="2159"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w:t>
            </w:r>
            <w:r>
              <w:rPr>
                <w:rFonts w:hint="eastAsia" w:ascii="宋体" w:hAnsi="宋体" w:eastAsia="宋体" w:cs="宋体"/>
                <w:color w:val="auto"/>
                <w:sz w:val="18"/>
                <w:szCs w:val="18"/>
              </w:rPr>
              <w:t>了解礼仪的基本概念</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w:t>
            </w:r>
            <w:r>
              <w:rPr>
                <w:rFonts w:hint="eastAsia" w:ascii="宋体" w:hAnsi="宋体" w:eastAsia="宋体" w:cs="宋体"/>
                <w:color w:val="auto"/>
                <w:sz w:val="18"/>
                <w:szCs w:val="18"/>
              </w:rPr>
              <w:t>塑造人员个人形象</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1-3</w:t>
            </w:r>
            <w:r>
              <w:rPr>
                <w:rFonts w:hint="eastAsia" w:ascii="宋体" w:hAnsi="宋体" w:eastAsia="宋体" w:cs="宋体"/>
                <w:color w:val="auto"/>
                <w:sz w:val="18"/>
                <w:szCs w:val="18"/>
              </w:rPr>
              <w:t>运用日常交际礼仪</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r>
              <w:rPr>
                <w:rFonts w:hint="eastAsia" w:ascii="宋体" w:hAnsi="宋体" w:eastAsia="宋体" w:cs="宋体"/>
                <w:color w:val="auto"/>
                <w:sz w:val="18"/>
                <w:szCs w:val="18"/>
              </w:rPr>
              <w:t>掌握常用的公务礼仪</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w:t>
            </w:r>
            <w:r>
              <w:rPr>
                <w:rFonts w:hint="eastAsia" w:ascii="宋体" w:hAnsi="宋体" w:eastAsia="宋体" w:cs="宋体"/>
                <w:color w:val="auto"/>
                <w:sz w:val="18"/>
                <w:szCs w:val="18"/>
              </w:rPr>
              <w:t>商务专题仪式活动</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w:t>
            </w:r>
            <w:r>
              <w:rPr>
                <w:rFonts w:hint="eastAsia" w:ascii="宋体" w:hAnsi="宋体" w:eastAsia="宋体" w:cs="宋体"/>
                <w:color w:val="auto"/>
                <w:sz w:val="18"/>
                <w:szCs w:val="18"/>
              </w:rPr>
              <w:t>熟识商务餐饮活动</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1-7</w:t>
            </w:r>
            <w:r>
              <w:rPr>
                <w:rFonts w:hint="eastAsia" w:ascii="宋体" w:hAnsi="宋体" w:eastAsia="宋体" w:cs="宋体"/>
                <w:color w:val="auto"/>
                <w:sz w:val="18"/>
                <w:szCs w:val="18"/>
              </w:rPr>
              <w:t>掌握职场语言交际礼仪</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1-8</w:t>
            </w:r>
            <w:r>
              <w:rPr>
                <w:rFonts w:hint="eastAsia" w:ascii="宋体" w:hAnsi="宋体" w:eastAsia="宋体" w:cs="宋体"/>
                <w:color w:val="auto"/>
                <w:sz w:val="18"/>
                <w:szCs w:val="18"/>
              </w:rPr>
              <w:t>掌握应聘面试礼仪</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1-9</w:t>
            </w:r>
            <w:r>
              <w:rPr>
                <w:rFonts w:hint="eastAsia" w:ascii="宋体" w:hAnsi="宋体" w:eastAsia="宋体" w:cs="宋体"/>
                <w:color w:val="auto"/>
                <w:sz w:val="18"/>
                <w:szCs w:val="18"/>
              </w:rPr>
              <w:t>了解商务娱乐休闲活动礼仪</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kern w:val="0"/>
                <w:sz w:val="18"/>
                <w:szCs w:val="18"/>
              </w:rPr>
            </w:pPr>
            <w:r>
              <w:rPr>
                <w:rFonts w:hint="eastAsia" w:ascii="宋体" w:hAnsi="宋体" w:eastAsia="宋体" w:cs="宋体"/>
                <w:color w:val="auto"/>
                <w:sz w:val="18"/>
                <w:szCs w:val="18"/>
                <w:lang w:val="en-US" w:eastAsia="zh-CN"/>
              </w:rPr>
              <w:t>1-10</w:t>
            </w:r>
            <w:r>
              <w:rPr>
                <w:rFonts w:hint="eastAsia" w:ascii="宋体" w:hAnsi="宋体" w:eastAsia="宋体" w:cs="宋体"/>
                <w:color w:val="auto"/>
                <w:sz w:val="18"/>
                <w:szCs w:val="18"/>
              </w:rPr>
              <w:t>掌握商务涉外礼仪</w:t>
            </w:r>
          </w:p>
        </w:tc>
        <w:tc>
          <w:tcPr>
            <w:tcW w:w="248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ind w:firstLine="354" w:firstLineChars="196"/>
              <w:jc w:val="left"/>
              <w:textAlignment w:val="auto"/>
              <w:rPr>
                <w:rFonts w:hint="eastAsia" w:ascii="宋体" w:hAnsi="宋体" w:eastAsia="宋体" w:cs="宋体"/>
                <w:color w:val="auto"/>
                <w:sz w:val="18"/>
                <w:szCs w:val="18"/>
              </w:rPr>
            </w:pPr>
            <w:r>
              <w:rPr>
                <w:rFonts w:hint="eastAsia" w:ascii="宋体" w:hAnsi="宋体" w:eastAsia="宋体" w:cs="宋体"/>
                <w:b/>
                <w:bCs/>
                <w:color w:val="auto"/>
                <w:sz w:val="18"/>
                <w:szCs w:val="18"/>
              </w:rPr>
              <w:t>主要内容：</w:t>
            </w:r>
            <w:r>
              <w:rPr>
                <w:rFonts w:hint="eastAsia" w:ascii="宋体" w:hAnsi="宋体" w:eastAsia="宋体" w:cs="宋体"/>
                <w:color w:val="auto"/>
                <w:sz w:val="18"/>
                <w:szCs w:val="18"/>
              </w:rPr>
              <w:t>认知</w:t>
            </w:r>
            <w:r>
              <w:rPr>
                <w:rFonts w:hint="eastAsia" w:ascii="宋体" w:hAnsi="宋体" w:eastAsia="宋体" w:cs="宋体"/>
                <w:color w:val="auto"/>
                <w:sz w:val="18"/>
                <w:szCs w:val="18"/>
                <w:lang w:val="en-US" w:eastAsia="zh-CN"/>
              </w:rPr>
              <w:t>社交</w:t>
            </w:r>
            <w:r>
              <w:rPr>
                <w:rFonts w:hint="eastAsia" w:ascii="宋体" w:hAnsi="宋体" w:eastAsia="宋体" w:cs="宋体"/>
                <w:color w:val="auto"/>
                <w:sz w:val="18"/>
                <w:szCs w:val="18"/>
              </w:rPr>
              <w:t>礼仪（</w:t>
            </w:r>
            <w:r>
              <w:rPr>
                <w:rFonts w:hint="eastAsia" w:ascii="宋体" w:hAnsi="宋体" w:eastAsia="宋体" w:cs="宋体"/>
                <w:color w:val="auto"/>
                <w:sz w:val="18"/>
                <w:szCs w:val="18"/>
                <w:lang w:val="en-US" w:eastAsia="zh-CN"/>
              </w:rPr>
              <w:t>社交</w:t>
            </w:r>
            <w:r>
              <w:rPr>
                <w:rFonts w:hint="eastAsia" w:ascii="宋体" w:hAnsi="宋体" w:eastAsia="宋体" w:cs="宋体"/>
                <w:color w:val="auto"/>
                <w:sz w:val="18"/>
                <w:szCs w:val="18"/>
              </w:rPr>
              <w:t>礼仪的内涵、特点、基本原则、中外礼仪比较）；</w:t>
            </w:r>
            <w:r>
              <w:rPr>
                <w:rFonts w:hint="eastAsia" w:ascii="宋体" w:hAnsi="宋体" w:eastAsia="宋体" w:cs="宋体"/>
                <w:color w:val="auto"/>
                <w:sz w:val="18"/>
                <w:szCs w:val="18"/>
                <w:lang w:val="en-US" w:eastAsia="zh-CN"/>
              </w:rPr>
              <w:t>服务人员的仪容、仪表、仪态，服务语言艺术、国际接待礼仪常识、我国主要客源国和地区的习俗和礼节、会议服务礼仪。</w:t>
            </w:r>
          </w:p>
          <w:p>
            <w:pPr>
              <w:keepNext w:val="0"/>
              <w:keepLines w:val="0"/>
              <w:pageBreakBefore w:val="0"/>
              <w:widowControl w:val="0"/>
              <w:kinsoku/>
              <w:wordWrap/>
              <w:overflowPunct/>
              <w:topLinePunct w:val="0"/>
              <w:autoSpaceDE/>
              <w:autoSpaceDN/>
              <w:bidi w:val="0"/>
              <w:spacing w:line="240" w:lineRule="auto"/>
              <w:ind w:firstLine="354" w:firstLineChars="196"/>
              <w:jc w:val="left"/>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b/>
                <w:bCs/>
                <w:color w:val="auto"/>
                <w:sz w:val="18"/>
                <w:szCs w:val="18"/>
                <w:lang w:val="en-US" w:eastAsia="zh-CN"/>
              </w:rPr>
              <w:t>教学要求</w:t>
            </w:r>
            <w:r>
              <w:rPr>
                <w:rFonts w:hint="eastAsia" w:ascii="宋体" w:hAnsi="宋体" w:eastAsia="宋体" w:cs="宋体"/>
                <w:b/>
                <w:bCs/>
                <w:color w:val="auto"/>
                <w:sz w:val="18"/>
                <w:szCs w:val="18"/>
              </w:rPr>
              <w:t>：</w:t>
            </w:r>
            <w:r>
              <w:rPr>
                <w:rFonts w:hint="eastAsia" w:ascii="宋体" w:hAnsi="宋体" w:eastAsia="宋体" w:cs="宋体"/>
                <w:color w:val="auto"/>
                <w:sz w:val="18"/>
                <w:szCs w:val="18"/>
              </w:rPr>
              <w:t>理解</w:t>
            </w:r>
            <w:r>
              <w:rPr>
                <w:rFonts w:hint="eastAsia" w:ascii="宋体" w:hAnsi="宋体" w:eastAsia="宋体" w:cs="宋体"/>
                <w:color w:val="auto"/>
                <w:sz w:val="18"/>
                <w:szCs w:val="18"/>
                <w:lang w:val="en-US" w:eastAsia="zh-CN"/>
              </w:rPr>
              <w:t>社交</w:t>
            </w:r>
            <w:r>
              <w:rPr>
                <w:rFonts w:hint="eastAsia" w:ascii="宋体" w:hAnsi="宋体" w:eastAsia="宋体" w:cs="宋体"/>
                <w:color w:val="auto"/>
                <w:sz w:val="18"/>
                <w:szCs w:val="18"/>
              </w:rPr>
              <w:t>礼仪的内涵、特点、基本原则，了解中外礼仪的异同点；掌握</w:t>
            </w:r>
            <w:r>
              <w:rPr>
                <w:rFonts w:hint="eastAsia" w:ascii="宋体" w:hAnsi="宋体" w:eastAsia="宋体" w:cs="宋体"/>
                <w:color w:val="auto"/>
                <w:sz w:val="18"/>
                <w:szCs w:val="18"/>
                <w:lang w:val="en-US" w:eastAsia="zh-CN"/>
              </w:rPr>
              <w:t>社交</w:t>
            </w:r>
            <w:r>
              <w:rPr>
                <w:rFonts w:hint="eastAsia" w:ascii="宋体" w:hAnsi="宋体" w:eastAsia="宋体" w:cs="宋体"/>
                <w:color w:val="auto"/>
                <w:sz w:val="18"/>
                <w:szCs w:val="18"/>
              </w:rPr>
              <w:t>场合的形象礼仪、公务礼仪、办公礼仪、餐饮礼仪和涉外礼仪。</w:t>
            </w:r>
          </w:p>
        </w:tc>
        <w:tc>
          <w:tcPr>
            <w:tcW w:w="1874"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kern w:val="0"/>
                <w:sz w:val="18"/>
                <w:szCs w:val="18"/>
              </w:rPr>
            </w:pPr>
            <w:r>
              <w:rPr>
                <w:rFonts w:hint="eastAsia" w:ascii="宋体" w:hAnsi="宋体" w:eastAsia="宋体" w:cs="宋体"/>
                <w:color w:val="auto"/>
                <w:sz w:val="18"/>
                <w:szCs w:val="18"/>
                <w:lang w:val="en-US" w:eastAsia="zh-CN"/>
              </w:rPr>
              <w:t>课程</w:t>
            </w:r>
            <w:r>
              <w:rPr>
                <w:rFonts w:hint="eastAsia" w:ascii="宋体" w:hAnsi="宋体" w:eastAsia="宋体" w:cs="宋体"/>
                <w:color w:val="auto"/>
                <w:sz w:val="18"/>
                <w:szCs w:val="18"/>
              </w:rPr>
              <w:t>从爱国主义情操、社会主义核心价值观、中国优秀传统文化、职业精神和职业道德、合作意识和团队精神、自我审视理念六个方面进行思政融入，使学生的思想道德品质朝着国家和社会所期待的方向发展。</w:t>
            </w:r>
          </w:p>
        </w:tc>
        <w:tc>
          <w:tcPr>
            <w:tcW w:w="10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w:t>
            </w:r>
          </w:p>
        </w:tc>
        <w:tc>
          <w:tcPr>
            <w:tcW w:w="101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中国</w:t>
            </w:r>
            <w:r>
              <w:rPr>
                <w:rFonts w:hint="eastAsia" w:ascii="宋体" w:hAnsi="宋体" w:eastAsia="宋体" w:cs="宋体"/>
                <w:color w:val="auto"/>
                <w:sz w:val="18"/>
                <w:szCs w:val="18"/>
              </w:rPr>
              <w:t>文化</w:t>
            </w:r>
          </w:p>
        </w:tc>
        <w:tc>
          <w:tcPr>
            <w:tcW w:w="2159"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1-1调查旅游资源的文化要素</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1-2调查当地博物馆了解当地历史文化</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1-3调查节庆文化（人生礼俗）的变迁</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1-4对正在申报的世界遗产的优点和不足</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1-5调查某名城、名镇的文化资源</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1-6旅游文创产品设计</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sz w:val="18"/>
                <w:szCs w:val="18"/>
              </w:rPr>
              <w:t>1-7分析当地古代建筑的特色、形式、风格、建筑历史和故事</w:t>
            </w:r>
          </w:p>
        </w:tc>
        <w:tc>
          <w:tcPr>
            <w:tcW w:w="248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ind w:firstLine="354" w:firstLineChars="196"/>
              <w:jc w:val="left"/>
              <w:textAlignment w:val="auto"/>
              <w:rPr>
                <w:rFonts w:hint="eastAsia" w:ascii="宋体" w:hAnsi="宋体" w:eastAsia="宋体" w:cs="宋体"/>
                <w:bCs/>
                <w:color w:val="auto"/>
                <w:sz w:val="18"/>
                <w:szCs w:val="18"/>
              </w:rPr>
            </w:pPr>
            <w:r>
              <w:rPr>
                <w:rFonts w:hint="eastAsia" w:ascii="宋体" w:hAnsi="宋体" w:eastAsia="宋体" w:cs="宋体"/>
                <w:b/>
                <w:bCs/>
                <w:color w:val="auto"/>
                <w:sz w:val="18"/>
                <w:szCs w:val="18"/>
              </w:rPr>
              <w:t>主要内容：</w:t>
            </w:r>
            <w:r>
              <w:rPr>
                <w:rFonts w:hint="eastAsia" w:ascii="宋体" w:hAnsi="宋体" w:eastAsia="宋体" w:cs="宋体"/>
                <w:b w:val="0"/>
                <w:bCs w:val="0"/>
                <w:color w:val="auto"/>
                <w:sz w:val="18"/>
                <w:szCs w:val="18"/>
                <w:lang w:val="en-US" w:eastAsia="zh-CN"/>
              </w:rPr>
              <w:t>旅游</w:t>
            </w:r>
            <w:r>
              <w:rPr>
                <w:rFonts w:hint="eastAsia" w:ascii="宋体" w:hAnsi="宋体" w:eastAsia="宋体" w:cs="宋体"/>
                <w:bCs/>
                <w:color w:val="auto"/>
                <w:sz w:val="18"/>
                <w:szCs w:val="18"/>
              </w:rPr>
              <w:t>文化的基本认知、</w:t>
            </w:r>
            <w:r>
              <w:rPr>
                <w:rFonts w:hint="eastAsia" w:ascii="宋体" w:hAnsi="宋体" w:eastAsia="宋体" w:cs="宋体"/>
                <w:bCs/>
                <w:color w:val="auto"/>
                <w:sz w:val="18"/>
                <w:szCs w:val="18"/>
                <w:lang w:val="en-US" w:eastAsia="zh-CN"/>
              </w:rPr>
              <w:t>历史</w:t>
            </w:r>
            <w:r>
              <w:rPr>
                <w:rFonts w:hint="eastAsia" w:ascii="宋体" w:hAnsi="宋体" w:eastAsia="宋体" w:cs="宋体"/>
                <w:bCs/>
                <w:color w:val="auto"/>
                <w:sz w:val="18"/>
                <w:szCs w:val="18"/>
              </w:rPr>
              <w:t>文化、自然文化、人文文化、社会文化、旅游业文化以及旅游文化环境。</w:t>
            </w:r>
          </w:p>
          <w:p>
            <w:pPr>
              <w:keepNext w:val="0"/>
              <w:keepLines w:val="0"/>
              <w:pageBreakBefore w:val="0"/>
              <w:widowControl w:val="0"/>
              <w:kinsoku/>
              <w:wordWrap/>
              <w:overflowPunct/>
              <w:topLinePunct w:val="0"/>
              <w:autoSpaceDE/>
              <w:autoSpaceDN/>
              <w:bidi w:val="0"/>
              <w:spacing w:line="240" w:lineRule="auto"/>
              <w:ind w:firstLine="354" w:firstLineChars="196"/>
              <w:jc w:val="left"/>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b/>
                <w:bCs/>
                <w:color w:val="auto"/>
                <w:sz w:val="18"/>
                <w:szCs w:val="18"/>
                <w:lang w:val="en-US" w:eastAsia="zh-CN"/>
              </w:rPr>
              <w:t>教学要求：</w:t>
            </w:r>
            <w:r>
              <w:rPr>
                <w:rFonts w:hint="eastAsia" w:ascii="宋体" w:hAnsi="宋体" w:eastAsia="宋体" w:cs="宋体"/>
                <w:bCs/>
                <w:color w:val="auto"/>
                <w:sz w:val="18"/>
                <w:szCs w:val="18"/>
              </w:rPr>
              <w:t>掌握</w:t>
            </w:r>
            <w:r>
              <w:rPr>
                <w:rFonts w:hint="eastAsia" w:ascii="宋体" w:hAnsi="宋体" w:eastAsia="宋体" w:cs="宋体"/>
                <w:bCs/>
                <w:color w:val="auto"/>
                <w:sz w:val="18"/>
                <w:szCs w:val="18"/>
                <w:lang w:val="en-US" w:eastAsia="zh-CN"/>
              </w:rPr>
              <w:t>旅游</w:t>
            </w:r>
            <w:r>
              <w:rPr>
                <w:rFonts w:hint="eastAsia" w:ascii="宋体" w:hAnsi="宋体" w:eastAsia="宋体" w:cs="宋体"/>
                <w:bCs/>
                <w:color w:val="auto"/>
                <w:sz w:val="18"/>
                <w:szCs w:val="18"/>
              </w:rPr>
              <w:t>文化的定义、特征、构成以及支撑学科；了解旅游动机文化、旅游者行为文化以及旅游者消费文化；理解自然文化、人文文化、社会文化以及旅游业文化；了解旅游文化环境。</w:t>
            </w:r>
          </w:p>
        </w:tc>
        <w:tc>
          <w:tcPr>
            <w:tcW w:w="1874"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kern w:val="0"/>
                <w:sz w:val="18"/>
                <w:szCs w:val="18"/>
              </w:rPr>
            </w:pPr>
            <w:r>
              <w:rPr>
                <w:rFonts w:hint="eastAsia" w:ascii="宋体" w:hAnsi="宋体" w:eastAsia="宋体" w:cs="宋体"/>
                <w:color w:val="auto"/>
                <w:sz w:val="18"/>
                <w:szCs w:val="18"/>
              </w:rPr>
              <w:t>增加旅游文化最新信息，力求体现旅游文化的历史性、民族性、社会性、时代性，使学生认识到祖国悠久的旅游文化，让学生对祖国悠久的旅游文化有自豪感，培养学生爱国主义情怀以及维护祖国荣誉自觉性。</w:t>
            </w:r>
          </w:p>
        </w:tc>
        <w:tc>
          <w:tcPr>
            <w:tcW w:w="10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4/64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101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旅游政策与法规</w:t>
            </w:r>
          </w:p>
        </w:tc>
        <w:tc>
          <w:tcPr>
            <w:tcW w:w="2159"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1-1法的起源与特征1-2《旅游法》出台</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1-3旅游纠纷处理的法律规定</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1-4导游证考试及等级考核制度</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1-5如何成立一家旅行社</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1-6旅游资源保护法规</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1-7旅游饭点星级评定与行业规范</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1-8航空、铁路、水路运输管理规定</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1-9旅游者出入境管理</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1-10旅游服务合同</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kern w:val="0"/>
                <w:sz w:val="18"/>
                <w:szCs w:val="18"/>
              </w:rPr>
            </w:pPr>
            <w:r>
              <w:rPr>
                <w:rFonts w:hint="eastAsia" w:ascii="宋体" w:hAnsi="宋体" w:eastAsia="宋体" w:cs="宋体"/>
                <w:color w:val="auto"/>
                <w:sz w:val="18"/>
                <w:szCs w:val="18"/>
              </w:rPr>
              <w:t>1-11旅游安全管理法律法规</w:t>
            </w:r>
          </w:p>
        </w:tc>
        <w:tc>
          <w:tcPr>
            <w:tcW w:w="248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ind w:firstLine="354" w:firstLineChars="196"/>
              <w:jc w:val="left"/>
              <w:textAlignment w:val="auto"/>
              <w:rPr>
                <w:rFonts w:hint="eastAsia" w:ascii="宋体" w:hAnsi="宋体" w:eastAsia="宋体" w:cs="宋体"/>
                <w:color w:val="auto"/>
                <w:sz w:val="18"/>
                <w:szCs w:val="18"/>
              </w:rPr>
            </w:pPr>
            <w:r>
              <w:rPr>
                <w:rFonts w:hint="eastAsia" w:ascii="宋体" w:hAnsi="宋体" w:eastAsia="宋体" w:cs="宋体"/>
                <w:b/>
                <w:bCs/>
                <w:color w:val="auto"/>
                <w:sz w:val="18"/>
                <w:szCs w:val="18"/>
              </w:rPr>
              <w:t>主要内容：</w:t>
            </w:r>
            <w:r>
              <w:rPr>
                <w:rFonts w:hint="eastAsia" w:ascii="宋体" w:hAnsi="宋体" w:eastAsia="宋体" w:cs="宋体"/>
                <w:color w:val="auto"/>
                <w:sz w:val="18"/>
                <w:szCs w:val="18"/>
              </w:rPr>
              <w:t>全面推进依法治国的总目标、五大法治体系以及六大重大任务；宪法的基本知识；有关新时代中国特色社会主义的方针政策、旅游方针政策以及“十三五”旅游业发展规划；旅游行业相关的具体法律法规。</w:t>
            </w:r>
          </w:p>
          <w:p>
            <w:pPr>
              <w:keepNext w:val="0"/>
              <w:keepLines w:val="0"/>
              <w:pageBreakBefore w:val="0"/>
              <w:widowControl w:val="0"/>
              <w:kinsoku/>
              <w:wordWrap/>
              <w:overflowPunct/>
              <w:topLinePunct w:val="0"/>
              <w:autoSpaceDE/>
              <w:autoSpaceDN/>
              <w:bidi w:val="0"/>
              <w:spacing w:line="240" w:lineRule="auto"/>
              <w:ind w:firstLine="354" w:firstLineChars="196"/>
              <w:jc w:val="left"/>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b/>
                <w:bCs/>
                <w:color w:val="auto"/>
                <w:sz w:val="18"/>
                <w:szCs w:val="18"/>
                <w:lang w:val="en-US" w:eastAsia="zh-CN"/>
              </w:rPr>
              <w:t>教学要求：</w:t>
            </w:r>
            <w:r>
              <w:rPr>
                <w:rFonts w:hint="eastAsia" w:ascii="宋体" w:hAnsi="宋体" w:eastAsia="宋体" w:cs="宋体"/>
                <w:color w:val="auto"/>
                <w:sz w:val="18"/>
                <w:szCs w:val="18"/>
              </w:rPr>
              <w:t>让学生熟悉旅游方针政策以及“十三五”旅游业发展规划，使学生掌握旅游行业相关的具体法律法规，并能将课程所学知识应用于旅游实际工作中。</w:t>
            </w:r>
          </w:p>
        </w:tc>
        <w:tc>
          <w:tcPr>
            <w:tcW w:w="1874"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1.加强学生爱国热情和敬业精神的培养。</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2.使学生具有良好的心理素质、服务意识和诚信意识。</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3.具有良好的职业道德，做一名合格的旅游工作者。</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4.树立良好的职业道德风尚，成为先进文化的合格的传播者。</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5.端正学生在导游讲解等职业活动中的政治立场，自觉维护党和国家的政策法规。</w:t>
            </w:r>
          </w:p>
          <w:p>
            <w:pPr>
              <w:pStyle w:val="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kern w:val="0"/>
                <w:sz w:val="18"/>
                <w:szCs w:val="18"/>
              </w:rPr>
            </w:pPr>
          </w:p>
        </w:tc>
        <w:tc>
          <w:tcPr>
            <w:tcW w:w="10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4/72</w:t>
            </w:r>
          </w:p>
        </w:tc>
      </w:tr>
    </w:tbl>
    <w:p>
      <w:pPr>
        <w:numPr>
          <w:ilvl w:val="0"/>
          <w:numId w:val="7"/>
        </w:numPr>
        <w:spacing w:line="400" w:lineRule="exact"/>
        <w:ind w:firstLine="420" w:firstLineChars="200"/>
        <w:jc w:val="left"/>
        <w:rPr>
          <w:rFonts w:hint="default"/>
        </w:rPr>
      </w:pPr>
      <w:r>
        <w:rPr>
          <w:rFonts w:hint="default" w:ascii="Times New Roman" w:hAnsi="Times New Roman" w:cs="Times New Roman"/>
          <w:color w:val="auto"/>
          <w:kern w:val="0"/>
          <w:szCs w:val="21"/>
        </w:rPr>
        <w:t>专业核心课主要教学内容与要求</w:t>
      </w:r>
    </w:p>
    <w:p>
      <w:pPr>
        <w:pStyle w:val="5"/>
        <w:keepNext/>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 xml:space="preserve">表 </w:t>
      </w:r>
      <w:r>
        <w:rPr>
          <w:rFonts w:hint="default" w:ascii="Times New Roman" w:hAnsi="Times New Roman" w:eastAsia="宋体" w:cs="Times New Roman"/>
          <w:b/>
          <w:bCs/>
          <w:color w:val="auto"/>
          <w:sz w:val="18"/>
          <w:szCs w:val="18"/>
        </w:rPr>
        <w:fldChar w:fldCharType="begin"/>
      </w:r>
      <w:r>
        <w:rPr>
          <w:rFonts w:hint="default" w:ascii="Times New Roman" w:hAnsi="Times New Roman" w:eastAsia="宋体" w:cs="Times New Roman"/>
          <w:b/>
          <w:bCs/>
          <w:color w:val="auto"/>
          <w:sz w:val="18"/>
          <w:szCs w:val="18"/>
        </w:rPr>
        <w:instrText xml:space="preserve"> SEQ 表 \* ARABIC </w:instrText>
      </w:r>
      <w:r>
        <w:rPr>
          <w:rFonts w:hint="default" w:ascii="Times New Roman" w:hAnsi="Times New Roman" w:eastAsia="宋体" w:cs="Times New Roman"/>
          <w:b/>
          <w:bCs/>
          <w:color w:val="auto"/>
          <w:sz w:val="18"/>
          <w:szCs w:val="18"/>
        </w:rPr>
        <w:fldChar w:fldCharType="separate"/>
      </w:r>
      <w:r>
        <w:rPr>
          <w:rFonts w:hint="default" w:ascii="Times New Roman" w:hAnsi="Times New Roman" w:eastAsia="宋体" w:cs="Times New Roman"/>
          <w:b/>
          <w:bCs/>
          <w:color w:val="auto"/>
          <w:sz w:val="18"/>
          <w:szCs w:val="18"/>
        </w:rPr>
        <w:t>6</w:t>
      </w:r>
      <w:r>
        <w:rPr>
          <w:rFonts w:hint="default" w:ascii="Times New Roman" w:hAnsi="Times New Roman" w:eastAsia="宋体" w:cs="Times New Roman"/>
          <w:b/>
          <w:bCs/>
          <w:color w:val="auto"/>
          <w:sz w:val="18"/>
          <w:szCs w:val="18"/>
        </w:rPr>
        <w:fldChar w:fldCharType="end"/>
      </w:r>
      <w:r>
        <w:rPr>
          <w:rFonts w:hint="default" w:ascii="Times New Roman" w:hAnsi="Times New Roman" w:eastAsia="宋体" w:cs="Times New Roman"/>
          <w:b/>
          <w:bCs/>
          <w:color w:val="auto"/>
          <w:sz w:val="18"/>
          <w:szCs w:val="18"/>
        </w:rPr>
        <w:t xml:space="preserve"> 专业核心课主要教学内容与要求</w:t>
      </w:r>
    </w:p>
    <w:tbl>
      <w:tblPr>
        <w:tblStyle w:val="8"/>
        <w:tblpPr w:leftFromText="180" w:rightFromText="180" w:vertAnchor="text" w:horzAnchor="page" w:tblpX="1410" w:tblpY="301"/>
        <w:tblOverlap w:val="never"/>
        <w:tblW w:w="92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6"/>
        <w:gridCol w:w="1026"/>
        <w:gridCol w:w="2324"/>
        <w:gridCol w:w="2214"/>
        <w:gridCol w:w="1975"/>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tcBorders>
              <w:tl2br w:val="nil"/>
              <w:tr2bl w:val="nil"/>
            </w:tcBorders>
            <w:shd w:val="clear" w:color="auto" w:fill="F1F1F1" w:themeFill="background1" w:themeFillShade="F2"/>
            <w:vAlign w:val="center"/>
          </w:tcPr>
          <w:p>
            <w:pPr>
              <w:pStyle w:val="2"/>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序号</w:t>
            </w:r>
          </w:p>
        </w:tc>
        <w:tc>
          <w:tcPr>
            <w:tcW w:w="1026" w:type="dxa"/>
            <w:tcBorders>
              <w:tl2br w:val="nil"/>
              <w:tr2bl w:val="nil"/>
            </w:tcBorders>
            <w:shd w:val="clear" w:color="auto" w:fill="F1F1F1" w:themeFill="background1" w:themeFillShade="F2"/>
            <w:vAlign w:val="center"/>
          </w:tcPr>
          <w:p>
            <w:pPr>
              <w:pStyle w:val="2"/>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课程名称</w:t>
            </w:r>
          </w:p>
        </w:tc>
        <w:tc>
          <w:tcPr>
            <w:tcW w:w="2324" w:type="dxa"/>
            <w:tcBorders>
              <w:tl2br w:val="nil"/>
              <w:tr2bl w:val="nil"/>
            </w:tcBorders>
            <w:shd w:val="clear" w:color="auto" w:fill="F1F1F1" w:themeFill="background1" w:themeFillShade="F2"/>
            <w:vAlign w:val="center"/>
          </w:tcPr>
          <w:p>
            <w:pPr>
              <w:pStyle w:val="2"/>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典型工作任务描述</w:t>
            </w:r>
          </w:p>
        </w:tc>
        <w:tc>
          <w:tcPr>
            <w:tcW w:w="2214" w:type="dxa"/>
            <w:tcBorders>
              <w:tl2br w:val="nil"/>
              <w:tr2bl w:val="nil"/>
            </w:tcBorders>
            <w:shd w:val="clear" w:color="auto" w:fill="F1F1F1" w:themeFill="background1" w:themeFillShade="F2"/>
            <w:vAlign w:val="center"/>
          </w:tcPr>
          <w:p>
            <w:pPr>
              <w:pStyle w:val="2"/>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主要教学内容与要求</w:t>
            </w:r>
          </w:p>
        </w:tc>
        <w:tc>
          <w:tcPr>
            <w:tcW w:w="1975" w:type="dxa"/>
            <w:tcBorders>
              <w:tl2br w:val="nil"/>
              <w:tr2bl w:val="nil"/>
            </w:tcBorders>
            <w:shd w:val="clear" w:color="auto" w:fill="F1F1F1" w:themeFill="background1" w:themeFillShade="F2"/>
            <w:vAlign w:val="center"/>
          </w:tcPr>
          <w:p>
            <w:pPr>
              <w:pStyle w:val="2"/>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课程思政育人</w:t>
            </w:r>
          </w:p>
        </w:tc>
        <w:tc>
          <w:tcPr>
            <w:tcW w:w="1080" w:type="dxa"/>
            <w:tcBorders>
              <w:tl2br w:val="nil"/>
              <w:tr2bl w:val="nil"/>
            </w:tcBorders>
            <w:shd w:val="clear" w:color="auto" w:fill="F1F1F1" w:themeFill="background1" w:themeFillShade="F2"/>
          </w:tcPr>
          <w:p>
            <w:pPr>
              <w:pStyle w:val="2"/>
              <w:jc w:val="center"/>
              <w:rPr>
                <w:rFonts w:hint="eastAsia" w:ascii="宋体" w:hAnsi="宋体" w:eastAsia="宋体" w:cs="宋体"/>
                <w:color w:val="auto"/>
                <w:kern w:val="0"/>
                <w:sz w:val="18"/>
                <w:szCs w:val="18"/>
              </w:rPr>
            </w:pPr>
            <w:r>
              <w:rPr>
                <w:rFonts w:hint="eastAsia" w:ascii="宋体" w:hAnsi="宋体" w:eastAsia="宋体" w:cs="宋体"/>
                <w:color w:val="auto"/>
                <w:sz w:val="18"/>
                <w:szCs w:val="18"/>
              </w:rPr>
              <w:t>学分/学时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1</w:t>
            </w:r>
          </w:p>
        </w:tc>
        <w:tc>
          <w:tcPr>
            <w:tcW w:w="102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rPr>
              <w:t>旅游电子商务</w:t>
            </w:r>
          </w:p>
        </w:tc>
        <w:tc>
          <w:tcPr>
            <w:tcW w:w="2324"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1-1旅游电子商务概念</w:t>
            </w:r>
          </w:p>
          <w:p>
            <w:pPr>
              <w:pStyle w:val="2"/>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1-2旅游电子商务的功能和应用领域</w:t>
            </w:r>
          </w:p>
          <w:p>
            <w:pPr>
              <w:pStyle w:val="2"/>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1-3电子商务类型</w:t>
            </w:r>
          </w:p>
          <w:p>
            <w:pPr>
              <w:pStyle w:val="2"/>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1-4旅游电子商务在旅游产业中的应用</w:t>
            </w:r>
          </w:p>
          <w:p>
            <w:pPr>
              <w:pStyle w:val="2"/>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1-5旅游饭店电子商务</w:t>
            </w:r>
          </w:p>
          <w:p>
            <w:pPr>
              <w:pStyle w:val="2"/>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1-6旅行社电子商务</w:t>
            </w:r>
          </w:p>
          <w:p>
            <w:pPr>
              <w:pStyle w:val="2"/>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1-7旅游景区电子商务</w:t>
            </w:r>
          </w:p>
          <w:p>
            <w:pPr>
              <w:pStyle w:val="2"/>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1-8旅游目的地电子商务</w:t>
            </w:r>
          </w:p>
          <w:p>
            <w:pPr>
              <w:pStyle w:val="2"/>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1-9旅游交通电子商务</w:t>
            </w:r>
          </w:p>
        </w:tc>
        <w:tc>
          <w:tcPr>
            <w:tcW w:w="221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354" w:firstLineChars="196"/>
              <w:jc w:val="left"/>
              <w:textAlignment w:val="auto"/>
              <w:rPr>
                <w:rFonts w:hint="eastAsia" w:ascii="宋体" w:hAnsi="宋体" w:eastAsia="宋体" w:cs="宋体"/>
                <w:color w:val="auto"/>
                <w:sz w:val="18"/>
                <w:szCs w:val="18"/>
              </w:rPr>
            </w:pPr>
            <w:r>
              <w:rPr>
                <w:rFonts w:hint="eastAsia" w:ascii="宋体" w:hAnsi="宋体" w:eastAsia="宋体" w:cs="宋体"/>
                <w:b/>
                <w:bCs/>
                <w:color w:val="auto"/>
                <w:sz w:val="18"/>
                <w:szCs w:val="18"/>
              </w:rPr>
              <w:t>主要内容：</w:t>
            </w:r>
            <w:r>
              <w:rPr>
                <w:rFonts w:hint="eastAsia" w:ascii="宋体" w:hAnsi="宋体" w:eastAsia="宋体" w:cs="宋体"/>
                <w:color w:val="auto"/>
                <w:sz w:val="18"/>
                <w:szCs w:val="18"/>
              </w:rPr>
              <w:t>电子商务概述、旅游电子商务的特征、旅游电子商务的发展趋势、旅游电子商务营销的内涵、旅游电子商务的现状与趋势。</w:t>
            </w:r>
          </w:p>
          <w:p>
            <w:pPr>
              <w:keepNext w:val="0"/>
              <w:keepLines w:val="0"/>
              <w:pageBreakBefore w:val="0"/>
              <w:widowControl w:val="0"/>
              <w:kinsoku/>
              <w:wordWrap/>
              <w:overflowPunct/>
              <w:topLinePunct w:val="0"/>
              <w:autoSpaceDE/>
              <w:autoSpaceDN/>
              <w:bidi w:val="0"/>
              <w:adjustRightInd/>
              <w:snapToGrid/>
              <w:spacing w:line="240" w:lineRule="auto"/>
              <w:ind w:firstLine="354" w:firstLineChars="196"/>
              <w:jc w:val="left"/>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b/>
                <w:bCs/>
                <w:color w:val="auto"/>
                <w:sz w:val="18"/>
                <w:szCs w:val="18"/>
                <w:lang w:val="en-US" w:eastAsia="zh-CN"/>
              </w:rPr>
              <w:t>教学要求：</w:t>
            </w:r>
            <w:r>
              <w:rPr>
                <w:rFonts w:hint="eastAsia" w:ascii="宋体" w:hAnsi="宋体" w:eastAsia="宋体" w:cs="宋体"/>
                <w:color w:val="auto"/>
                <w:sz w:val="18"/>
                <w:szCs w:val="18"/>
              </w:rPr>
              <w:t>通过该课程学习，能够掌握电子商务基本理论，与旅游企业相结合的实际应用，并培养学生的自学能力和动手解决问题的能力。</w:t>
            </w:r>
          </w:p>
        </w:tc>
        <w:tc>
          <w:tcPr>
            <w:tcW w:w="1975"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通过课程学习，能够让学生全面了解和掌握我国经济社会发展取得的巨大成就，能够客观深刻地感受到宏观经济数据背后带给国民的幸福感和优越感，并能够激发学生的爱国主义热情和民族自豪感。</w:t>
            </w:r>
          </w:p>
          <w:p>
            <w:pPr>
              <w:pStyle w:val="2"/>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0"/>
                <w:sz w:val="18"/>
                <w:szCs w:val="18"/>
                <w:lang w:val="en-US" w:eastAsia="zh-CN"/>
              </w:rPr>
            </w:pPr>
          </w:p>
        </w:tc>
        <w:tc>
          <w:tcPr>
            <w:tcW w:w="10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4/72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w:t>
            </w:r>
          </w:p>
        </w:tc>
        <w:tc>
          <w:tcPr>
            <w:tcW w:w="102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rPr>
              <w:t>智慧景区服务与管理</w:t>
            </w:r>
          </w:p>
        </w:tc>
        <w:tc>
          <w:tcPr>
            <w:tcW w:w="2324"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1-1认识景区开发与管理</w:t>
            </w:r>
          </w:p>
          <w:p>
            <w:pPr>
              <w:pStyle w:val="2"/>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1-2景区资源的评价与利用</w:t>
            </w:r>
          </w:p>
          <w:p>
            <w:pPr>
              <w:pStyle w:val="2"/>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1-3景区项目开发</w:t>
            </w:r>
          </w:p>
          <w:p>
            <w:pPr>
              <w:pStyle w:val="2"/>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1-4景区主题形象设计</w:t>
            </w:r>
          </w:p>
          <w:p>
            <w:pPr>
              <w:pStyle w:val="2"/>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1-5景区产品开发的创意设计</w:t>
            </w:r>
          </w:p>
          <w:p>
            <w:pPr>
              <w:pStyle w:val="2"/>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1-6旅游景区营销管理</w:t>
            </w:r>
          </w:p>
          <w:p>
            <w:pPr>
              <w:pStyle w:val="2"/>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1-7景区组织管理</w:t>
            </w:r>
          </w:p>
          <w:p>
            <w:pPr>
              <w:pStyle w:val="2"/>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1-8旅游景区设施管理</w:t>
            </w:r>
          </w:p>
          <w:p>
            <w:pPr>
              <w:pStyle w:val="2"/>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1-9景区环境管理</w:t>
            </w:r>
          </w:p>
          <w:p>
            <w:pPr>
              <w:pStyle w:val="2"/>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1-10旅游景区安全管理</w:t>
            </w:r>
          </w:p>
        </w:tc>
        <w:tc>
          <w:tcPr>
            <w:tcW w:w="221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354" w:firstLineChars="196"/>
              <w:jc w:val="left"/>
              <w:textAlignment w:val="auto"/>
              <w:rPr>
                <w:rFonts w:hint="eastAsia" w:ascii="宋体" w:hAnsi="宋体" w:eastAsia="宋体" w:cs="宋体"/>
                <w:color w:val="auto"/>
                <w:sz w:val="18"/>
                <w:szCs w:val="18"/>
                <w:lang w:val="en-US" w:eastAsia="zh-CN"/>
              </w:rPr>
            </w:pPr>
            <w:r>
              <w:rPr>
                <w:rFonts w:hint="eastAsia" w:ascii="宋体" w:hAnsi="宋体" w:eastAsia="宋体" w:cs="宋体"/>
                <w:b/>
                <w:bCs/>
                <w:color w:val="auto"/>
                <w:sz w:val="18"/>
                <w:szCs w:val="18"/>
                <w:lang w:val="en-US" w:eastAsia="zh-CN"/>
              </w:rPr>
              <w:t>主要内容：</w:t>
            </w:r>
            <w:r>
              <w:rPr>
                <w:rFonts w:hint="eastAsia" w:ascii="宋体" w:hAnsi="宋体" w:eastAsia="宋体" w:cs="宋体"/>
                <w:color w:val="auto"/>
                <w:sz w:val="18"/>
                <w:szCs w:val="18"/>
                <w:lang w:val="en-US" w:eastAsia="zh-CN"/>
              </w:rPr>
              <w:t>智慧旅游景区概述、旅游景区类型、旅游景区市场分析与预测、景区产品开发、空间结构和功能分区、旅游景区管理策略、旅游景区管理内容和方法、旅游开发的保障体系规划。</w:t>
            </w:r>
          </w:p>
          <w:p>
            <w:pPr>
              <w:keepNext w:val="0"/>
              <w:keepLines w:val="0"/>
              <w:pageBreakBefore w:val="0"/>
              <w:widowControl w:val="0"/>
              <w:kinsoku/>
              <w:wordWrap/>
              <w:overflowPunct/>
              <w:topLinePunct w:val="0"/>
              <w:autoSpaceDE/>
              <w:autoSpaceDN/>
              <w:bidi w:val="0"/>
              <w:adjustRightInd/>
              <w:snapToGrid/>
              <w:spacing w:line="240" w:lineRule="auto"/>
              <w:ind w:firstLine="354" w:firstLineChars="196"/>
              <w:jc w:val="left"/>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b/>
                <w:bCs/>
                <w:color w:val="auto"/>
                <w:sz w:val="18"/>
                <w:szCs w:val="18"/>
                <w:lang w:val="en-US" w:eastAsia="zh-CN"/>
              </w:rPr>
              <w:t>教学要求：</w:t>
            </w:r>
            <w:r>
              <w:rPr>
                <w:rFonts w:hint="eastAsia" w:ascii="宋体" w:hAnsi="宋体" w:eastAsia="宋体" w:cs="宋体"/>
                <w:color w:val="auto"/>
                <w:sz w:val="18"/>
                <w:szCs w:val="18"/>
                <w:lang w:val="en-US" w:eastAsia="zh-CN"/>
              </w:rPr>
              <w:t>通过该课程学习，掌握智慧旅游景区管理模式，中外旅游景区开发与管理的异同。</w:t>
            </w:r>
          </w:p>
        </w:tc>
        <w:tc>
          <w:tcPr>
            <w:tcW w:w="1975"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通过课程的教学，让学生认识中国的旅游资源，并了解旅游资源合理开发后的旅游景区，增强学生的爱国主义和自豪感。端正学生在景区服务活动中的政治立场，学生能够自觉维护国家的政策法规，在学习中培养正确的人生观、价值观和社会观。</w:t>
            </w:r>
          </w:p>
        </w:tc>
        <w:tc>
          <w:tcPr>
            <w:tcW w:w="10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4/72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102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rPr>
              <w:t>旅游</w:t>
            </w:r>
            <w:r>
              <w:rPr>
                <w:rFonts w:hint="eastAsia" w:ascii="宋体" w:hAnsi="宋体" w:eastAsia="宋体" w:cs="宋体"/>
                <w:b w:val="0"/>
                <w:bCs w:val="0"/>
                <w:color w:val="auto"/>
                <w:sz w:val="18"/>
                <w:szCs w:val="18"/>
                <w:lang w:val="en-US" w:eastAsia="zh-CN"/>
              </w:rPr>
              <w:t>景区</w:t>
            </w:r>
            <w:r>
              <w:rPr>
                <w:rFonts w:hint="eastAsia" w:ascii="宋体" w:hAnsi="宋体" w:eastAsia="宋体" w:cs="宋体"/>
                <w:b w:val="0"/>
                <w:bCs w:val="0"/>
                <w:color w:val="auto"/>
                <w:sz w:val="18"/>
                <w:szCs w:val="18"/>
              </w:rPr>
              <w:t>市场营销</w:t>
            </w:r>
          </w:p>
        </w:tc>
        <w:tc>
          <w:tcPr>
            <w:tcW w:w="2324"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1-1旅游市场营销概念</w:t>
            </w:r>
          </w:p>
          <w:p>
            <w:pPr>
              <w:pStyle w:val="2"/>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1-2市场营销观念</w:t>
            </w:r>
          </w:p>
          <w:p>
            <w:pPr>
              <w:pStyle w:val="2"/>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1-3旅游市场营销的特征</w:t>
            </w:r>
          </w:p>
          <w:p>
            <w:pPr>
              <w:pStyle w:val="2"/>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1-4旅游市场营销信息系统与营销调研</w:t>
            </w:r>
          </w:p>
          <w:p>
            <w:pPr>
              <w:pStyle w:val="2"/>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1-5旅游市场需求分析</w:t>
            </w:r>
          </w:p>
          <w:p>
            <w:pPr>
              <w:pStyle w:val="2"/>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1-6市场细分、目标市场选择和市场定位</w:t>
            </w:r>
          </w:p>
          <w:p>
            <w:pPr>
              <w:pStyle w:val="2"/>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1-7旅游产品策略</w:t>
            </w:r>
          </w:p>
          <w:p>
            <w:pPr>
              <w:pStyle w:val="2"/>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1-8旅游产品分销渠道策略</w:t>
            </w:r>
          </w:p>
        </w:tc>
        <w:tc>
          <w:tcPr>
            <w:tcW w:w="221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354" w:firstLineChars="196"/>
              <w:jc w:val="left"/>
              <w:textAlignment w:val="auto"/>
              <w:rPr>
                <w:rFonts w:hint="eastAsia" w:ascii="宋体" w:hAnsi="宋体" w:eastAsia="宋体" w:cs="宋体"/>
                <w:color w:val="auto"/>
                <w:sz w:val="18"/>
                <w:szCs w:val="18"/>
                <w:lang w:val="en-US" w:eastAsia="zh-CN"/>
              </w:rPr>
            </w:pPr>
            <w:r>
              <w:rPr>
                <w:rFonts w:hint="eastAsia" w:ascii="宋体" w:hAnsi="宋体" w:eastAsia="宋体" w:cs="宋体"/>
                <w:b/>
                <w:bCs/>
                <w:color w:val="auto"/>
                <w:sz w:val="18"/>
                <w:szCs w:val="18"/>
                <w:lang w:val="en-US" w:eastAsia="zh-CN"/>
              </w:rPr>
              <w:t>主要内容：</w:t>
            </w:r>
            <w:r>
              <w:rPr>
                <w:rFonts w:hint="eastAsia" w:ascii="宋体" w:hAnsi="宋体" w:eastAsia="宋体" w:cs="宋体"/>
                <w:color w:val="auto"/>
                <w:sz w:val="18"/>
                <w:szCs w:val="18"/>
                <w:lang w:val="en-US" w:eastAsia="zh-CN"/>
              </w:rPr>
              <w:t>旅游市场营销概念、特征；旅游产品分销渠道、旅游市场营销组合的内容、策略、方法；旅游产品开发程序、定价策略；产品市场细分的作用和原则。</w:t>
            </w:r>
          </w:p>
          <w:p>
            <w:pPr>
              <w:pStyle w:val="2"/>
              <w:keepNext w:val="0"/>
              <w:keepLines w:val="0"/>
              <w:pageBreakBefore w:val="0"/>
              <w:widowControl w:val="0"/>
              <w:kinsoku/>
              <w:wordWrap/>
              <w:overflowPunct/>
              <w:topLinePunct w:val="0"/>
              <w:autoSpaceDE/>
              <w:autoSpaceDN/>
              <w:bidi w:val="0"/>
              <w:adjustRightInd/>
              <w:snapToGrid/>
              <w:spacing w:line="240" w:lineRule="auto"/>
              <w:ind w:firstLine="361" w:firstLineChars="200"/>
              <w:jc w:val="left"/>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b/>
                <w:bCs/>
                <w:color w:val="auto"/>
                <w:sz w:val="18"/>
                <w:szCs w:val="18"/>
                <w:lang w:val="en-US" w:eastAsia="zh-CN"/>
              </w:rPr>
              <w:t>教学要求：</w:t>
            </w:r>
            <w:r>
              <w:rPr>
                <w:rFonts w:hint="eastAsia" w:ascii="宋体" w:hAnsi="宋体" w:eastAsia="宋体" w:cs="宋体"/>
                <w:color w:val="auto"/>
                <w:sz w:val="18"/>
                <w:szCs w:val="18"/>
                <w:lang w:val="en-US" w:eastAsia="zh-CN"/>
              </w:rPr>
              <w:t>掌握旅游市场营销的概念、基本理论和专业知识，具备从事旅游企业市场营销活动以及市场管理的职业技能，能进行市场调研与分析、营销策划、产品销售、客户管理、销售队伍管理等。</w:t>
            </w:r>
          </w:p>
        </w:tc>
        <w:tc>
          <w:tcPr>
            <w:tcW w:w="1975"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通过课程教学，让学生了解中国旅游市场的快速发展和成效，增强学生的民族自豪感。培养学生法律意识，树立起遵守行业规则，正确的旅游职业素养，自觉抵制一切不正当行为。让学生建立良好的公序良德意识，培养学生坚韧不拔、自强不息、锐意进取的改革创新精神。</w:t>
            </w:r>
          </w:p>
        </w:tc>
        <w:tc>
          <w:tcPr>
            <w:tcW w:w="10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4/68</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left"/>
        <w:textAlignment w:val="auto"/>
        <w:rPr>
          <w:rFonts w:hint="default" w:ascii="Times New Roman" w:hAnsi="Times New Roman" w:cs="Times New Roman"/>
          <w:b/>
          <w:bCs/>
          <w:color w:val="auto"/>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left"/>
        <w:textAlignment w:val="auto"/>
        <w:rPr>
          <w:rFonts w:hint="default" w:ascii="Times New Roman" w:hAnsi="Times New Roman" w:cs="Times New Roman"/>
          <w:b/>
          <w:bCs/>
          <w:color w:val="auto"/>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left"/>
        <w:textAlignment w:val="auto"/>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（四）综合实践课</w:t>
      </w:r>
    </w:p>
    <w:p>
      <w:pPr>
        <w:pStyle w:val="2"/>
        <w:keepNext w:val="0"/>
        <w:keepLines w:val="0"/>
        <w:pageBreakBefore w:val="0"/>
        <w:widowControl w:val="0"/>
        <w:kinsoku/>
        <w:wordWrap/>
        <w:overflowPunct/>
        <w:topLinePunct w:val="0"/>
        <w:autoSpaceDE/>
        <w:autoSpaceDN/>
        <w:bidi w:val="0"/>
        <w:adjustRightInd w:val="0"/>
        <w:snapToGrid w:val="0"/>
        <w:spacing w:before="156" w:beforeLines="50" w:line="240" w:lineRule="auto"/>
        <w:ind w:firstLine="361" w:firstLineChars="200"/>
        <w:jc w:val="center"/>
        <w:textAlignment w:val="auto"/>
        <w:rPr>
          <w:rFonts w:hint="default" w:ascii="Times New Roman" w:hAnsi="Times New Roman" w:eastAsia="仿宋" w:cs="Times New Roman"/>
          <w:i/>
          <w:iCs/>
          <w:color w:val="0000FF"/>
          <w:kern w:val="0"/>
          <w:sz w:val="18"/>
          <w:szCs w:val="18"/>
        </w:rPr>
      </w:pPr>
      <w:r>
        <w:rPr>
          <w:rFonts w:hint="default" w:ascii="Times New Roman" w:hAnsi="Times New Roman" w:cs="Times New Roman"/>
          <w:b/>
          <w:bCs/>
          <w:color w:val="000000"/>
          <w:sz w:val="18"/>
          <w:szCs w:val="18"/>
        </w:rPr>
        <w:t>表</w:t>
      </w:r>
      <w:r>
        <w:rPr>
          <w:rFonts w:hint="eastAsia" w:cs="Times New Roman"/>
          <w:b/>
          <w:bCs/>
          <w:color w:val="000000"/>
          <w:sz w:val="18"/>
          <w:szCs w:val="18"/>
          <w:lang w:val="en-US" w:eastAsia="zh-CN"/>
        </w:rPr>
        <w:t>7</w:t>
      </w:r>
      <w:r>
        <w:rPr>
          <w:rFonts w:hint="default" w:ascii="Times New Roman" w:hAnsi="Times New Roman" w:cs="Times New Roman"/>
          <w:b/>
          <w:bCs/>
          <w:color w:val="000000"/>
          <w:sz w:val="18"/>
          <w:szCs w:val="18"/>
        </w:rPr>
        <w:t xml:space="preserve"> 综合实践课程主要教学内容与要求</w:t>
      </w:r>
    </w:p>
    <w:tbl>
      <w:tblPr>
        <w:tblStyle w:val="8"/>
        <w:tblpPr w:leftFromText="180" w:rightFromText="180" w:vertAnchor="text" w:horzAnchor="page" w:tblpX="1606" w:tblpY="586"/>
        <w:tblOverlap w:val="never"/>
        <w:tblW w:w="87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0"/>
        <w:gridCol w:w="622"/>
        <w:gridCol w:w="622"/>
        <w:gridCol w:w="6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0" w:type="dxa"/>
            <w:tcBorders>
              <w:tl2br w:val="nil"/>
              <w:tr2bl w:val="nil"/>
            </w:tcBorders>
            <w:shd w:val="clear" w:color="auto" w:fill="F1F1F1" w:themeFill="background1" w:themeFillShade="F2"/>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实践环节</w:t>
            </w:r>
          </w:p>
        </w:tc>
        <w:tc>
          <w:tcPr>
            <w:tcW w:w="622" w:type="dxa"/>
            <w:tcBorders>
              <w:tl2br w:val="nil"/>
              <w:tr2bl w:val="nil"/>
            </w:tcBorders>
            <w:shd w:val="clear" w:color="auto" w:fill="F1F1F1" w:themeFill="background1" w:themeFillShade="F2"/>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学期</w:t>
            </w:r>
          </w:p>
        </w:tc>
        <w:tc>
          <w:tcPr>
            <w:tcW w:w="622" w:type="dxa"/>
            <w:tcBorders>
              <w:tl2br w:val="nil"/>
              <w:tr2bl w:val="nil"/>
            </w:tcBorders>
            <w:shd w:val="clear" w:color="auto" w:fill="F1F1F1" w:themeFill="background1" w:themeFillShade="F2"/>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周数</w:t>
            </w:r>
          </w:p>
        </w:tc>
        <w:tc>
          <w:tcPr>
            <w:tcW w:w="6196" w:type="dxa"/>
            <w:tcBorders>
              <w:tl2br w:val="nil"/>
              <w:tr2bl w:val="nil"/>
            </w:tcBorders>
            <w:shd w:val="clear" w:color="auto" w:fill="F1F1F1" w:themeFill="background1" w:themeFillShade="F2"/>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主要内容及要求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0"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景区岗位认知</w:t>
            </w:r>
          </w:p>
        </w:tc>
        <w:tc>
          <w:tcPr>
            <w:tcW w:w="622"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w:t>
            </w:r>
          </w:p>
        </w:tc>
        <w:tc>
          <w:tcPr>
            <w:tcW w:w="622"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6196" w:type="dxa"/>
            <w:tcBorders>
              <w:tl2br w:val="nil"/>
              <w:tr2bl w:val="nil"/>
            </w:tcBorders>
            <w:shd w:val="clear" w:color="auto" w:fill="auto"/>
            <w:vAlign w:val="center"/>
          </w:tcPr>
          <w:p>
            <w:pPr>
              <w:pStyle w:val="2"/>
              <w:keepNext w:val="0"/>
              <w:keepLines w:val="0"/>
              <w:pageBreakBefore w:val="0"/>
              <w:widowControl w:val="0"/>
              <w:numPr>
                <w:ilvl w:val="0"/>
                <w:numId w:val="8"/>
              </w:numPr>
              <w:kinsoku/>
              <w:wordWrap/>
              <w:overflowPunct/>
              <w:topLinePunct w:val="0"/>
              <w:autoSpaceDE/>
              <w:autoSpaceDN/>
              <w:bidi w:val="0"/>
              <w:adjustRightInd/>
              <w:snapToGrid/>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初步培养</w:t>
            </w:r>
            <w:r>
              <w:rPr>
                <w:rFonts w:hint="eastAsia" w:ascii="宋体" w:hAnsi="宋体" w:eastAsia="宋体" w:cs="宋体"/>
                <w:color w:val="auto"/>
                <w:kern w:val="0"/>
                <w:sz w:val="18"/>
                <w:szCs w:val="18"/>
                <w:lang w:val="en-US" w:eastAsia="zh-CN"/>
              </w:rPr>
              <w:t>学生对旅游景区行业的认知；</w:t>
            </w:r>
          </w:p>
          <w:p>
            <w:pPr>
              <w:pStyle w:val="2"/>
              <w:keepNext w:val="0"/>
              <w:keepLines w:val="0"/>
              <w:pageBreakBefore w:val="0"/>
              <w:widowControl w:val="0"/>
              <w:numPr>
                <w:ilvl w:val="0"/>
                <w:numId w:val="8"/>
              </w:numPr>
              <w:kinsoku/>
              <w:wordWrap/>
              <w:overflowPunct/>
              <w:topLinePunct w:val="0"/>
              <w:autoSpaceDE/>
              <w:autoSpaceDN/>
              <w:bidi w:val="0"/>
              <w:adjustRightInd/>
              <w:snapToGrid/>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初步掌握</w:t>
            </w:r>
            <w:r>
              <w:rPr>
                <w:rFonts w:hint="eastAsia" w:ascii="宋体" w:hAnsi="宋体" w:eastAsia="宋体" w:cs="宋体"/>
                <w:color w:val="auto"/>
                <w:kern w:val="0"/>
                <w:sz w:val="18"/>
                <w:szCs w:val="18"/>
                <w:lang w:val="en-US" w:eastAsia="zh-CN"/>
              </w:rPr>
              <w:t>旅游景区行业的现状和岗位技能需求；</w:t>
            </w:r>
          </w:p>
          <w:p>
            <w:pPr>
              <w:pStyle w:val="2"/>
              <w:keepNext w:val="0"/>
              <w:keepLines w:val="0"/>
              <w:pageBreakBefore w:val="0"/>
              <w:widowControl w:val="0"/>
              <w:numPr>
                <w:ilvl w:val="0"/>
                <w:numId w:val="8"/>
              </w:numPr>
              <w:kinsoku/>
              <w:wordWrap/>
              <w:overflowPunct/>
              <w:topLinePunct w:val="0"/>
              <w:autoSpaceDE/>
              <w:autoSpaceDN/>
              <w:bidi w:val="0"/>
              <w:adjustRightInd/>
              <w:snapToGrid/>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了解</w:t>
            </w:r>
            <w:r>
              <w:rPr>
                <w:rFonts w:hint="eastAsia" w:ascii="宋体" w:hAnsi="宋体" w:eastAsia="宋体" w:cs="宋体"/>
                <w:color w:val="auto"/>
                <w:kern w:val="0"/>
                <w:sz w:val="18"/>
                <w:szCs w:val="18"/>
                <w:lang w:val="en-US" w:eastAsia="zh-CN"/>
              </w:rPr>
              <w:t>旅游景区类型、岗位设置、工作流程等相关情况。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0"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景区讲解服务实践</w:t>
            </w:r>
          </w:p>
        </w:tc>
        <w:tc>
          <w:tcPr>
            <w:tcW w:w="622"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w:t>
            </w:r>
          </w:p>
        </w:tc>
        <w:tc>
          <w:tcPr>
            <w:tcW w:w="622"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w:t>
            </w:r>
          </w:p>
        </w:tc>
        <w:tc>
          <w:tcPr>
            <w:tcW w:w="6196" w:type="dxa"/>
            <w:tcBorders>
              <w:tl2br w:val="nil"/>
              <w:tr2bl w:val="nil"/>
            </w:tcBorders>
            <w:shd w:val="clear" w:color="auto" w:fill="auto"/>
            <w:vAlign w:val="center"/>
          </w:tcPr>
          <w:p>
            <w:pPr>
              <w:pStyle w:val="2"/>
              <w:keepNext w:val="0"/>
              <w:keepLines w:val="0"/>
              <w:pageBreakBefore w:val="0"/>
              <w:widowControl w:val="0"/>
              <w:numPr>
                <w:ilvl w:val="0"/>
                <w:numId w:val="8"/>
              </w:numPr>
              <w:kinsoku/>
              <w:wordWrap/>
              <w:overflowPunct/>
              <w:topLinePunct w:val="0"/>
              <w:autoSpaceDE/>
              <w:autoSpaceDN/>
              <w:bidi w:val="0"/>
              <w:adjustRightInd/>
              <w:snapToGrid/>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了解旅游景区对于讲解服务的技能要求；</w:t>
            </w:r>
          </w:p>
          <w:p>
            <w:pPr>
              <w:pStyle w:val="2"/>
              <w:keepNext w:val="0"/>
              <w:keepLines w:val="0"/>
              <w:pageBreakBefore w:val="0"/>
              <w:widowControl w:val="0"/>
              <w:numPr>
                <w:ilvl w:val="0"/>
                <w:numId w:val="8"/>
              </w:numPr>
              <w:kinsoku/>
              <w:wordWrap/>
              <w:overflowPunct/>
              <w:topLinePunct w:val="0"/>
              <w:autoSpaceDE/>
              <w:autoSpaceDN/>
              <w:bidi w:val="0"/>
              <w:adjustRightInd/>
              <w:snapToGrid/>
              <w:jc w:val="both"/>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掌握</w:t>
            </w:r>
            <w:r>
              <w:rPr>
                <w:rFonts w:hint="eastAsia" w:ascii="宋体" w:hAnsi="宋体" w:eastAsia="宋体" w:cs="宋体"/>
                <w:color w:val="auto"/>
                <w:kern w:val="0"/>
                <w:sz w:val="18"/>
                <w:szCs w:val="18"/>
                <w:lang w:val="en-US" w:eastAsia="zh-CN"/>
              </w:rPr>
              <w:t>旅游景区讲解知识及技巧，能够独立完成景区讲解服务工作；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0"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景区数字运营推广实践</w:t>
            </w:r>
          </w:p>
        </w:tc>
        <w:tc>
          <w:tcPr>
            <w:tcW w:w="622"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w:t>
            </w:r>
          </w:p>
        </w:tc>
        <w:tc>
          <w:tcPr>
            <w:tcW w:w="622"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w:t>
            </w:r>
          </w:p>
        </w:tc>
        <w:tc>
          <w:tcPr>
            <w:tcW w:w="6196" w:type="dxa"/>
            <w:tcBorders>
              <w:tl2br w:val="nil"/>
              <w:tr2bl w:val="nil"/>
            </w:tcBorders>
            <w:shd w:val="clear" w:color="auto" w:fill="auto"/>
            <w:vAlign w:val="center"/>
          </w:tcPr>
          <w:p>
            <w:pPr>
              <w:pStyle w:val="2"/>
              <w:keepNext w:val="0"/>
              <w:keepLines w:val="0"/>
              <w:pageBreakBefore w:val="0"/>
              <w:widowControl w:val="0"/>
              <w:numPr>
                <w:ilvl w:val="0"/>
                <w:numId w:val="8"/>
              </w:numPr>
              <w:kinsoku/>
              <w:wordWrap/>
              <w:overflowPunct/>
              <w:topLinePunct w:val="0"/>
              <w:autoSpaceDE/>
              <w:autoSpaceDN/>
              <w:bidi w:val="0"/>
              <w:adjustRightInd/>
              <w:snapToGrid/>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了解旅游景区现有数字化运营方式和成效；</w:t>
            </w:r>
          </w:p>
          <w:p>
            <w:pPr>
              <w:pStyle w:val="2"/>
              <w:keepNext w:val="0"/>
              <w:keepLines w:val="0"/>
              <w:pageBreakBefore w:val="0"/>
              <w:widowControl w:val="0"/>
              <w:numPr>
                <w:ilvl w:val="0"/>
                <w:numId w:val="8"/>
              </w:numPr>
              <w:kinsoku/>
              <w:wordWrap/>
              <w:overflowPunct/>
              <w:topLinePunct w:val="0"/>
              <w:autoSpaceDE/>
              <w:autoSpaceDN/>
              <w:bidi w:val="0"/>
              <w:adjustRightInd/>
              <w:snapToGrid/>
              <w:jc w:val="both"/>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掌握旅游景区数字化运营方法、内容、技巧，能够独立完成某一项数字化运营方案的推广；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0"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景区项目策划实践</w:t>
            </w:r>
          </w:p>
        </w:tc>
        <w:tc>
          <w:tcPr>
            <w:tcW w:w="622"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w:t>
            </w:r>
          </w:p>
        </w:tc>
        <w:tc>
          <w:tcPr>
            <w:tcW w:w="622"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w:t>
            </w:r>
          </w:p>
        </w:tc>
        <w:tc>
          <w:tcPr>
            <w:tcW w:w="6196" w:type="dxa"/>
            <w:tcBorders>
              <w:tl2br w:val="nil"/>
              <w:tr2bl w:val="nil"/>
            </w:tcBorders>
            <w:shd w:val="clear" w:color="auto" w:fill="auto"/>
            <w:vAlign w:val="center"/>
          </w:tcPr>
          <w:p>
            <w:pPr>
              <w:pStyle w:val="2"/>
              <w:keepNext w:val="0"/>
              <w:keepLines w:val="0"/>
              <w:pageBreakBefore w:val="0"/>
              <w:widowControl w:val="0"/>
              <w:numPr>
                <w:ilvl w:val="0"/>
                <w:numId w:val="8"/>
              </w:numPr>
              <w:kinsoku/>
              <w:wordWrap/>
              <w:overflowPunct/>
              <w:topLinePunct w:val="0"/>
              <w:autoSpaceDE/>
              <w:autoSpaceDN/>
              <w:bidi w:val="0"/>
              <w:adjustRightInd/>
              <w:snapToGrid/>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了解旅游景区活动项目策划方案及实施效果；</w:t>
            </w:r>
          </w:p>
          <w:p>
            <w:pPr>
              <w:pStyle w:val="2"/>
              <w:keepNext w:val="0"/>
              <w:keepLines w:val="0"/>
              <w:pageBreakBefore w:val="0"/>
              <w:widowControl w:val="0"/>
              <w:numPr>
                <w:ilvl w:val="0"/>
                <w:numId w:val="8"/>
              </w:numPr>
              <w:kinsoku/>
              <w:wordWrap/>
              <w:overflowPunct/>
              <w:topLinePunct w:val="0"/>
              <w:autoSpaceDE/>
              <w:autoSpaceDN/>
              <w:bidi w:val="0"/>
              <w:adjustRightInd/>
              <w:snapToGrid/>
              <w:ind w:left="440" w:leftChars="0" w:hanging="440" w:firstLineChars="0"/>
              <w:jc w:val="both"/>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掌握</w:t>
            </w:r>
            <w:r>
              <w:rPr>
                <w:rFonts w:hint="eastAsia" w:ascii="宋体" w:hAnsi="宋体" w:eastAsia="宋体" w:cs="宋体"/>
                <w:color w:val="auto"/>
                <w:kern w:val="0"/>
                <w:sz w:val="18"/>
                <w:szCs w:val="18"/>
                <w:lang w:val="en-US" w:eastAsia="zh-CN"/>
              </w:rPr>
              <w:t>旅游景区对于活动策划方案的制作、实施、效果等内容，能够独立完成某一活动的策划及实施。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0"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景区资源调查与产品开发</w:t>
            </w:r>
          </w:p>
        </w:tc>
        <w:tc>
          <w:tcPr>
            <w:tcW w:w="622"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w:t>
            </w:r>
          </w:p>
        </w:tc>
        <w:tc>
          <w:tcPr>
            <w:tcW w:w="622"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w:t>
            </w:r>
          </w:p>
        </w:tc>
        <w:tc>
          <w:tcPr>
            <w:tcW w:w="6196" w:type="dxa"/>
            <w:tcBorders>
              <w:tl2br w:val="nil"/>
              <w:tr2bl w:val="nil"/>
            </w:tcBorders>
            <w:shd w:val="clear" w:color="auto" w:fill="auto"/>
            <w:vAlign w:val="center"/>
          </w:tcPr>
          <w:p>
            <w:pPr>
              <w:pStyle w:val="2"/>
              <w:keepNext w:val="0"/>
              <w:keepLines w:val="0"/>
              <w:pageBreakBefore w:val="0"/>
              <w:widowControl w:val="0"/>
              <w:numPr>
                <w:ilvl w:val="0"/>
                <w:numId w:val="8"/>
              </w:numPr>
              <w:kinsoku/>
              <w:wordWrap/>
              <w:overflowPunct/>
              <w:topLinePunct w:val="0"/>
              <w:autoSpaceDE/>
              <w:autoSpaceDN/>
              <w:bidi w:val="0"/>
              <w:adjustRightInd/>
              <w:snapToGrid/>
              <w:ind w:left="440" w:leftChars="0" w:hanging="440" w:firstLineChars="0"/>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调研旅游景区资源情况及资源开发现状；</w:t>
            </w:r>
          </w:p>
          <w:p>
            <w:pPr>
              <w:pStyle w:val="2"/>
              <w:keepNext w:val="0"/>
              <w:keepLines w:val="0"/>
              <w:pageBreakBefore w:val="0"/>
              <w:widowControl w:val="0"/>
              <w:numPr>
                <w:ilvl w:val="0"/>
                <w:numId w:val="8"/>
              </w:numPr>
              <w:kinsoku/>
              <w:wordWrap/>
              <w:overflowPunct/>
              <w:topLinePunct w:val="0"/>
              <w:autoSpaceDE/>
              <w:autoSpaceDN/>
              <w:bidi w:val="0"/>
              <w:adjustRightInd/>
              <w:snapToGrid/>
              <w:ind w:left="440" w:leftChars="0" w:hanging="440" w:firstLineChars="0"/>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了解旅游景区旅游产品开发状况</w:t>
            </w:r>
          </w:p>
          <w:p>
            <w:pPr>
              <w:pStyle w:val="2"/>
              <w:keepNext w:val="0"/>
              <w:keepLines w:val="0"/>
              <w:pageBreakBefore w:val="0"/>
              <w:widowControl w:val="0"/>
              <w:numPr>
                <w:ilvl w:val="0"/>
                <w:numId w:val="8"/>
              </w:numPr>
              <w:kinsoku/>
              <w:wordWrap/>
              <w:overflowPunct/>
              <w:topLinePunct w:val="0"/>
              <w:autoSpaceDE/>
              <w:autoSpaceDN/>
              <w:bidi w:val="0"/>
              <w:adjustRightInd/>
              <w:snapToGrid/>
              <w:ind w:left="440" w:leftChars="0" w:hanging="440" w:firstLineChars="0"/>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掌握旅游景区资源调研方法，能够撰写旅游景区资源调研报告，并能够根据旅游景区资源状况设计开发相关旅游产品。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0"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景区企业综合调研</w:t>
            </w:r>
          </w:p>
        </w:tc>
        <w:tc>
          <w:tcPr>
            <w:tcW w:w="622"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622"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w:t>
            </w:r>
          </w:p>
        </w:tc>
        <w:tc>
          <w:tcPr>
            <w:tcW w:w="6196" w:type="dxa"/>
            <w:tcBorders>
              <w:tl2br w:val="nil"/>
              <w:tr2bl w:val="nil"/>
            </w:tcBorders>
            <w:shd w:val="clear" w:color="auto" w:fill="auto"/>
            <w:vAlign w:val="center"/>
          </w:tcPr>
          <w:p>
            <w:pPr>
              <w:pStyle w:val="2"/>
              <w:keepNext w:val="0"/>
              <w:keepLines w:val="0"/>
              <w:pageBreakBefore w:val="0"/>
              <w:widowControl w:val="0"/>
              <w:numPr>
                <w:ilvl w:val="0"/>
                <w:numId w:val="8"/>
              </w:numPr>
              <w:kinsoku/>
              <w:wordWrap/>
              <w:overflowPunct/>
              <w:topLinePunct w:val="0"/>
              <w:autoSpaceDE/>
              <w:autoSpaceDN/>
              <w:bidi w:val="0"/>
              <w:adjustRightInd/>
              <w:snapToGrid/>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初步培养</w:t>
            </w:r>
            <w:r>
              <w:rPr>
                <w:rFonts w:hint="eastAsia" w:ascii="宋体" w:hAnsi="宋体" w:eastAsia="宋体" w:cs="宋体"/>
                <w:color w:val="auto"/>
                <w:kern w:val="0"/>
                <w:sz w:val="18"/>
                <w:szCs w:val="18"/>
                <w:lang w:val="en-US" w:eastAsia="zh-CN"/>
              </w:rPr>
              <w:t>学生对旅游景区资源的调查、评估；</w:t>
            </w:r>
          </w:p>
          <w:p>
            <w:pPr>
              <w:pStyle w:val="2"/>
              <w:keepNext w:val="0"/>
              <w:keepLines w:val="0"/>
              <w:pageBreakBefore w:val="0"/>
              <w:widowControl w:val="0"/>
              <w:numPr>
                <w:ilvl w:val="0"/>
                <w:numId w:val="8"/>
              </w:numPr>
              <w:kinsoku/>
              <w:wordWrap/>
              <w:overflowPunct/>
              <w:topLinePunct w:val="0"/>
              <w:autoSpaceDE/>
              <w:autoSpaceDN/>
              <w:bidi w:val="0"/>
              <w:adjustRightInd/>
              <w:snapToGrid/>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初步掌握</w:t>
            </w:r>
            <w:r>
              <w:rPr>
                <w:rFonts w:hint="eastAsia" w:ascii="宋体" w:hAnsi="宋体" w:eastAsia="宋体" w:cs="宋体"/>
                <w:color w:val="auto"/>
                <w:kern w:val="0"/>
                <w:sz w:val="18"/>
                <w:szCs w:val="18"/>
                <w:lang w:val="en-US" w:eastAsia="zh-CN"/>
              </w:rPr>
              <w:t>旅游景区资源的分类、保护措施、开发要求等知识；</w:t>
            </w:r>
          </w:p>
          <w:p>
            <w:pPr>
              <w:pStyle w:val="2"/>
              <w:keepNext w:val="0"/>
              <w:keepLines w:val="0"/>
              <w:pageBreakBefore w:val="0"/>
              <w:widowControl w:val="0"/>
              <w:numPr>
                <w:ilvl w:val="0"/>
                <w:numId w:val="8"/>
              </w:numPr>
              <w:kinsoku/>
              <w:wordWrap/>
              <w:overflowPunct/>
              <w:topLinePunct w:val="0"/>
              <w:autoSpaceDE/>
              <w:autoSpaceDN/>
              <w:bidi w:val="0"/>
              <w:adjustRightInd/>
              <w:snapToGrid/>
              <w:ind w:left="440" w:leftChars="0" w:hanging="440" w:firstLineChars="0"/>
              <w:jc w:val="both"/>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了解</w:t>
            </w:r>
            <w:r>
              <w:rPr>
                <w:rFonts w:hint="eastAsia" w:ascii="宋体" w:hAnsi="宋体" w:eastAsia="宋体" w:cs="宋体"/>
                <w:color w:val="auto"/>
                <w:kern w:val="0"/>
                <w:sz w:val="18"/>
                <w:szCs w:val="18"/>
                <w:lang w:val="en-US" w:eastAsia="zh-CN"/>
              </w:rPr>
              <w:t>旅游景区资源类型及开发状况，用专业知识进行分析，并能独立完成企业调研报告。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0"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毕业实习</w:t>
            </w:r>
          </w:p>
        </w:tc>
        <w:tc>
          <w:tcPr>
            <w:tcW w:w="622"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w:t>
            </w:r>
          </w:p>
        </w:tc>
        <w:tc>
          <w:tcPr>
            <w:tcW w:w="622"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12</w:t>
            </w:r>
          </w:p>
        </w:tc>
        <w:tc>
          <w:tcPr>
            <w:tcW w:w="6196" w:type="dxa"/>
            <w:tcBorders>
              <w:tl2br w:val="nil"/>
              <w:tr2bl w:val="nil"/>
            </w:tcBorders>
            <w:shd w:val="clear" w:color="auto" w:fill="auto"/>
            <w:vAlign w:val="center"/>
          </w:tcPr>
          <w:p>
            <w:pPr>
              <w:pStyle w:val="2"/>
              <w:keepNext w:val="0"/>
              <w:keepLines w:val="0"/>
              <w:pageBreakBefore w:val="0"/>
              <w:widowControl w:val="0"/>
              <w:numPr>
                <w:ilvl w:val="0"/>
                <w:numId w:val="8"/>
              </w:numPr>
              <w:kinsoku/>
              <w:wordWrap/>
              <w:overflowPunct/>
              <w:topLinePunct w:val="0"/>
              <w:autoSpaceDE/>
              <w:autoSpaceDN/>
              <w:bidi w:val="0"/>
              <w:adjustRightInd/>
              <w:snapToGrid/>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了解旅游景区企业的经营情况、岗位现状、预期发展；</w:t>
            </w:r>
          </w:p>
          <w:p>
            <w:pPr>
              <w:pStyle w:val="2"/>
              <w:keepNext w:val="0"/>
              <w:keepLines w:val="0"/>
              <w:pageBreakBefore w:val="0"/>
              <w:widowControl w:val="0"/>
              <w:numPr>
                <w:ilvl w:val="0"/>
                <w:numId w:val="8"/>
              </w:numPr>
              <w:kinsoku/>
              <w:wordWrap/>
              <w:overflowPunct/>
              <w:topLinePunct w:val="0"/>
              <w:autoSpaceDE/>
              <w:autoSpaceDN/>
              <w:bidi w:val="0"/>
              <w:adjustRightInd/>
              <w:snapToGrid/>
              <w:ind w:left="440" w:leftChars="0" w:hanging="440" w:firstLineChars="0"/>
              <w:jc w:val="both"/>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能够适应旅游景区企业的工作内容，专业技能在旅游企业的适用度。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0"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毕业设计</w:t>
            </w:r>
          </w:p>
        </w:tc>
        <w:tc>
          <w:tcPr>
            <w:tcW w:w="622"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w:t>
            </w:r>
          </w:p>
        </w:tc>
        <w:tc>
          <w:tcPr>
            <w:tcW w:w="622"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w:t>
            </w:r>
          </w:p>
        </w:tc>
        <w:tc>
          <w:tcPr>
            <w:tcW w:w="6196" w:type="dxa"/>
            <w:tcBorders>
              <w:tl2br w:val="nil"/>
              <w:tr2bl w:val="nil"/>
            </w:tcBorders>
            <w:shd w:val="clear" w:color="auto" w:fill="auto"/>
            <w:vAlign w:val="center"/>
          </w:tcPr>
          <w:p>
            <w:pPr>
              <w:pStyle w:val="2"/>
              <w:keepNext w:val="0"/>
              <w:keepLines w:val="0"/>
              <w:pageBreakBefore w:val="0"/>
              <w:widowControl w:val="0"/>
              <w:numPr>
                <w:ilvl w:val="0"/>
                <w:numId w:val="8"/>
              </w:numPr>
              <w:kinsoku/>
              <w:wordWrap/>
              <w:overflowPunct/>
              <w:topLinePunct w:val="0"/>
              <w:autoSpaceDE/>
              <w:autoSpaceDN/>
              <w:bidi w:val="0"/>
              <w:adjustRightInd/>
              <w:snapToGrid/>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通过深入调研，了解旅游景区企业现状，对旅游企业进行分析，提出改善建议；</w:t>
            </w:r>
          </w:p>
          <w:p>
            <w:pPr>
              <w:pStyle w:val="2"/>
              <w:keepNext w:val="0"/>
              <w:keepLines w:val="0"/>
              <w:pageBreakBefore w:val="0"/>
              <w:widowControl w:val="0"/>
              <w:numPr>
                <w:ilvl w:val="0"/>
                <w:numId w:val="8"/>
              </w:numPr>
              <w:kinsoku/>
              <w:wordWrap/>
              <w:overflowPunct/>
              <w:topLinePunct w:val="0"/>
              <w:autoSpaceDE/>
              <w:autoSpaceDN/>
              <w:bidi w:val="0"/>
              <w:adjustRightInd/>
              <w:snapToGrid/>
              <w:ind w:left="440" w:leftChars="0" w:hanging="440" w:firstLineChars="0"/>
              <w:jc w:val="both"/>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用所学专业知识，针对旅游企业的实际问题，提出有效解决方案，并进行论证。</w:t>
            </w:r>
          </w:p>
        </w:tc>
      </w:tr>
    </w:tbl>
    <w:p>
      <w:pPr>
        <w:spacing w:line="400" w:lineRule="exact"/>
        <w:ind w:firstLine="420" w:firstLineChars="200"/>
        <w:jc w:val="left"/>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七、教学进程及学时安排</w:t>
      </w:r>
    </w:p>
    <w:p>
      <w:pPr>
        <w:spacing w:line="400" w:lineRule="exact"/>
        <w:ind w:firstLine="422" w:firstLineChars="200"/>
        <w:jc w:val="left"/>
        <w:rPr>
          <w:rFonts w:hint="default" w:ascii="Times New Roman" w:hAnsi="Times New Roman" w:cs="Times New Roman"/>
          <w:b/>
          <w:bCs/>
          <w:color w:val="000000"/>
          <w:kern w:val="0"/>
          <w:sz w:val="21"/>
          <w:szCs w:val="21"/>
        </w:rPr>
      </w:pPr>
      <w:r>
        <w:rPr>
          <w:rFonts w:hint="default" w:ascii="Times New Roman" w:hAnsi="Times New Roman" w:cs="Times New Roman"/>
          <w:b/>
          <w:bCs/>
          <w:color w:val="000000"/>
          <w:kern w:val="0"/>
          <w:sz w:val="21"/>
          <w:szCs w:val="21"/>
        </w:rPr>
        <w:t>（一）教学周数安排表</w:t>
      </w:r>
    </w:p>
    <w:p>
      <w:pPr>
        <w:pStyle w:val="5"/>
        <w:keepNext/>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color w:val="auto"/>
          <w:sz w:val="18"/>
          <w:szCs w:val="18"/>
        </w:rPr>
      </w:pPr>
      <w:r>
        <w:rPr>
          <w:rFonts w:hint="default" w:ascii="Times New Roman" w:hAnsi="Times New Roman" w:cs="Times New Roman" w:eastAsiaTheme="minorEastAsia"/>
          <w:b/>
          <w:bCs/>
          <w:color w:val="auto"/>
          <w:sz w:val="18"/>
          <w:szCs w:val="18"/>
        </w:rPr>
        <w:t xml:space="preserve">表 </w:t>
      </w:r>
      <w:r>
        <w:rPr>
          <w:rFonts w:hint="eastAsia" w:ascii="Times New Roman" w:hAnsi="Times New Roman" w:cs="Times New Roman" w:eastAsiaTheme="minorEastAsia"/>
          <w:b/>
          <w:bCs/>
          <w:color w:val="auto"/>
          <w:sz w:val="18"/>
          <w:szCs w:val="18"/>
          <w:lang w:val="en-US" w:eastAsia="zh-CN"/>
        </w:rPr>
        <w:t>8</w:t>
      </w:r>
      <w:r>
        <w:rPr>
          <w:rFonts w:hint="default" w:ascii="Times New Roman" w:hAnsi="Times New Roman" w:cs="Times New Roman" w:eastAsiaTheme="minorEastAsia"/>
          <w:b/>
          <w:bCs/>
          <w:color w:val="auto"/>
          <w:sz w:val="18"/>
          <w:szCs w:val="18"/>
        </w:rPr>
        <w:t xml:space="preserve"> 教学周数安排表</w:t>
      </w:r>
    </w:p>
    <w:tbl>
      <w:tblPr>
        <w:tblStyle w:val="8"/>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5"/>
        <w:gridCol w:w="811"/>
        <w:gridCol w:w="811"/>
        <w:gridCol w:w="819"/>
        <w:gridCol w:w="811"/>
        <w:gridCol w:w="1256"/>
        <w:gridCol w:w="110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95" w:type="dxa"/>
            <w:vMerge w:val="restart"/>
            <w:shd w:val="clear" w:color="auto" w:fill="F1F1F1" w:themeFill="background1" w:themeFillShade="F2"/>
          </w:tcPr>
          <w:p>
            <w:pPr>
              <w:keepNext w:val="0"/>
              <w:keepLines w:val="0"/>
              <w:pageBreakBefore w:val="0"/>
              <w:widowControl w:val="0"/>
              <w:kinsoku/>
              <w:wordWrap/>
              <w:overflowPunct/>
              <w:topLinePunct w:val="0"/>
              <w:autoSpaceDE/>
              <w:autoSpaceDN/>
              <w:bidi w:val="0"/>
              <w:adjustRightInd/>
              <w:snapToGrid/>
              <w:spacing w:line="240" w:lineRule="auto"/>
              <w:ind w:firstLine="1260" w:firstLineChars="700"/>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1270</wp:posOffset>
                      </wp:positionV>
                      <wp:extent cx="1583690" cy="605790"/>
                      <wp:effectExtent l="1905" t="4445" r="14605" b="18415"/>
                      <wp:wrapNone/>
                      <wp:docPr id="2" name="直接连接符 2"/>
                      <wp:cNvGraphicFramePr/>
                      <a:graphic xmlns:a="http://schemas.openxmlformats.org/drawingml/2006/main">
                        <a:graphicData uri="http://schemas.microsoft.com/office/word/2010/wordprocessingShape">
                          <wps:wsp>
                            <wps:cNvCnPr/>
                            <wps:spPr>
                              <a:xfrm>
                                <a:off x="0" y="0"/>
                                <a:ext cx="1583690" cy="60579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8pt;margin-top:0.1pt;height:47.7pt;width:124.7pt;z-index:251659264;mso-width-relative:page;mso-height-relative:page;" filled="f" stroked="t" coordsize="21600,21600" o:gfxdata="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SrCC/UAAAABgEAAA8AAAAAAAAAAQAgAAAAIgAAAGRycy9kb3ducmV2LnhtbFBLAQIU&#10;ABQAAAAIAIdO4kCDJKn19wEAAOkDAAAOAAAAAAAAAAEAIAAAACMBAABkcnMvZTJvRG9jLnhtbFBL&#10;BQYAAAAABgAGAFkBAACMBQAAAAA=&#10;">
                      <v:fill on="f" focussize="0,0"/>
                      <v:stroke weight="0.5pt" color="#000000" joinstyle="round"/>
                      <v:imagedata o:title=""/>
                      <o:lock v:ext="edit" aspectratio="f"/>
                    </v:line>
                  </w:pict>
                </mc:Fallback>
              </mc:AlternateContent>
            </w:r>
            <w:r>
              <w:rPr>
                <w:rFonts w:hint="default" w:ascii="Times New Roman" w:hAnsi="Times New Roman" w:cs="Times New Roman" w:eastAsiaTheme="minorEastAsia"/>
                <w:color w:val="auto"/>
                <w:sz w:val="18"/>
                <w:szCs w:val="18"/>
              </w:rPr>
              <w:t>项  目</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143510</wp:posOffset>
                      </wp:positionV>
                      <wp:extent cx="1564005" cy="260985"/>
                      <wp:effectExtent l="635" t="4445" r="16510" b="20320"/>
                      <wp:wrapNone/>
                      <wp:docPr id="3" name="直接连接符 3"/>
                      <wp:cNvGraphicFramePr/>
                      <a:graphic xmlns:a="http://schemas.openxmlformats.org/drawingml/2006/main">
                        <a:graphicData uri="http://schemas.microsoft.com/office/word/2010/wordprocessingShape">
                          <wps:wsp>
                            <wps:cNvCnPr/>
                            <wps:spPr>
                              <a:xfrm>
                                <a:off x="0" y="0"/>
                                <a:ext cx="1564005" cy="26098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45pt;margin-top:11.3pt;height:20.55pt;width:123.15pt;z-index:251659264;mso-width-relative:page;mso-height-relative:page;" filled="f" stroked="t" coordsize="21600,21600" o:gfxdata="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Jv/ldcAAAAIAQAADwAAAAAAAAABACAAAAAiAAAAZHJzL2Rvd25yZXYueG1s&#10;UEsBAhQAFAAAAAgAh07iQAMoH5r5AQAA6QMAAA4AAAAAAAAAAQAgAAAAJgEAAGRycy9lMm9Eb2Mu&#10;eG1sUEsFBgAAAAAGAAYAWQEAAJEFAAAAAA==&#10;">
                      <v:fill on="f" focussize="0,0"/>
                      <v:stroke weight="0.5pt" color="#000000" joinstyle="round"/>
                      <v:imagedata o:title=""/>
                      <o:lock v:ext="edit" aspectratio="f"/>
                    </v:line>
                  </w:pict>
                </mc:Fallback>
              </mc:AlternateContent>
            </w:r>
            <w:r>
              <w:rPr>
                <w:rFonts w:hint="default" w:ascii="Times New Roman" w:hAnsi="Times New Roman" w:cs="Times New Roman" w:eastAsiaTheme="minorEastAsia"/>
                <w:color w:val="auto"/>
                <w:sz w:val="18"/>
                <w:szCs w:val="18"/>
              </w:rPr>
              <w:t>周</w:t>
            </w:r>
            <w:r>
              <w:rPr>
                <w:rFonts w:hint="default" w:ascii="Times New Roman" w:hAnsi="Times New Roman" w:cs="Times New Roman" w:eastAsiaTheme="minorEastAsia"/>
                <w:color w:val="auto"/>
                <w:sz w:val="18"/>
                <w:szCs w:val="18"/>
                <w:lang w:val="en-US" w:eastAsia="zh-CN"/>
              </w:rPr>
              <w:t xml:space="preserve">  </w:t>
            </w:r>
            <w:r>
              <w:rPr>
                <w:rFonts w:hint="default" w:ascii="Times New Roman" w:hAnsi="Times New Roman" w:cs="Times New Roman" w:eastAsiaTheme="minorEastAsia"/>
                <w:color w:val="auto"/>
                <w:sz w:val="18"/>
                <w:szCs w:val="18"/>
              </w:rPr>
              <w:t>数</w:t>
            </w:r>
          </w:p>
          <w:p>
            <w:pPr>
              <w:keepNext w:val="0"/>
              <w:keepLines w:val="0"/>
              <w:pageBreakBefore w:val="0"/>
              <w:widowControl w:val="0"/>
              <w:kinsoku/>
              <w:wordWrap/>
              <w:overflowPunct/>
              <w:topLinePunct w:val="0"/>
              <w:autoSpaceDE/>
              <w:autoSpaceDN/>
              <w:bidi w:val="0"/>
              <w:adjustRightInd/>
              <w:snapToGrid/>
              <w:spacing w:line="240" w:lineRule="auto"/>
              <w:ind w:firstLine="45" w:firstLineChars="25"/>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 xml:space="preserve">学 期      </w:t>
            </w:r>
          </w:p>
        </w:tc>
        <w:tc>
          <w:tcPr>
            <w:tcW w:w="2441" w:type="dxa"/>
            <w:gridSpan w:val="3"/>
            <w:shd w:val="clear" w:color="auto" w:fill="F1F1F1" w:themeFill="background1" w:themeFillShade="F2"/>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授课环节</w:t>
            </w:r>
          </w:p>
        </w:tc>
        <w:tc>
          <w:tcPr>
            <w:tcW w:w="3167" w:type="dxa"/>
            <w:gridSpan w:val="3"/>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其他环节</w:t>
            </w:r>
          </w:p>
        </w:tc>
        <w:tc>
          <w:tcPr>
            <w:tcW w:w="975" w:type="dxa"/>
            <w:vMerge w:val="restart"/>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社会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9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firstLine="900" w:firstLineChars="500"/>
              <w:textAlignment w:val="auto"/>
              <w:rPr>
                <w:rFonts w:hint="default" w:ascii="Times New Roman" w:hAnsi="Times New Roman" w:cs="Times New Roman" w:eastAsiaTheme="minorEastAsia"/>
                <w:color w:val="auto"/>
                <w:sz w:val="18"/>
                <w:szCs w:val="18"/>
              </w:rPr>
            </w:pPr>
          </w:p>
        </w:tc>
        <w:tc>
          <w:tcPr>
            <w:tcW w:w="811"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总教学周数</w:t>
            </w:r>
          </w:p>
        </w:tc>
        <w:tc>
          <w:tcPr>
            <w:tcW w:w="811"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课内</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教学</w:t>
            </w:r>
          </w:p>
        </w:tc>
        <w:tc>
          <w:tcPr>
            <w:tcW w:w="819"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集中时间教学</w:t>
            </w:r>
          </w:p>
        </w:tc>
        <w:tc>
          <w:tcPr>
            <w:tcW w:w="811"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复习</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考试</w:t>
            </w:r>
          </w:p>
        </w:tc>
        <w:tc>
          <w:tcPr>
            <w:tcW w:w="1256"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入学毕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业教育</w:t>
            </w:r>
          </w:p>
        </w:tc>
        <w:tc>
          <w:tcPr>
            <w:tcW w:w="1100"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军训/机动</w:t>
            </w:r>
          </w:p>
        </w:tc>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9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一</w:t>
            </w:r>
          </w:p>
        </w:tc>
        <w:tc>
          <w:tcPr>
            <w:tcW w:w="81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20</w:t>
            </w:r>
          </w:p>
        </w:tc>
        <w:tc>
          <w:tcPr>
            <w:tcW w:w="81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lang w:val="en-US" w:eastAsia="zh-CN"/>
              </w:rPr>
            </w:pPr>
            <w:r>
              <w:rPr>
                <w:rFonts w:hint="eastAsia" w:cs="Times New Roman" w:eastAsiaTheme="minorEastAsia"/>
                <w:color w:val="auto"/>
                <w:sz w:val="18"/>
                <w:szCs w:val="18"/>
                <w:lang w:val="en-US" w:eastAsia="zh-CN"/>
              </w:rPr>
              <w:t>16</w:t>
            </w:r>
          </w:p>
        </w:tc>
        <w:tc>
          <w:tcPr>
            <w:tcW w:w="81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sz w:val="18"/>
                <w:szCs w:val="18"/>
                <w:lang w:eastAsia="zh-CN"/>
              </w:rPr>
            </w:pPr>
            <w:r>
              <w:rPr>
                <w:rFonts w:hint="eastAsia" w:cs="Times New Roman" w:eastAsiaTheme="minorEastAsia"/>
                <w:color w:val="auto"/>
                <w:sz w:val="18"/>
                <w:szCs w:val="18"/>
                <w:lang w:val="en-US" w:eastAsia="zh-CN"/>
              </w:rPr>
              <w:t>0</w:t>
            </w:r>
          </w:p>
        </w:tc>
        <w:tc>
          <w:tcPr>
            <w:tcW w:w="8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1</w:t>
            </w:r>
          </w:p>
        </w:tc>
        <w:tc>
          <w:tcPr>
            <w:tcW w:w="125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1</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2</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9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二</w:t>
            </w:r>
          </w:p>
        </w:tc>
        <w:tc>
          <w:tcPr>
            <w:tcW w:w="81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20</w:t>
            </w:r>
          </w:p>
        </w:tc>
        <w:tc>
          <w:tcPr>
            <w:tcW w:w="81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lang w:val="en-US" w:eastAsia="zh-CN"/>
              </w:rPr>
            </w:pPr>
            <w:r>
              <w:rPr>
                <w:rFonts w:hint="eastAsia" w:cs="Times New Roman" w:eastAsiaTheme="minorEastAsia"/>
                <w:color w:val="auto"/>
                <w:sz w:val="18"/>
                <w:szCs w:val="18"/>
                <w:lang w:val="en-US" w:eastAsia="zh-CN"/>
              </w:rPr>
              <w:t>17</w:t>
            </w:r>
          </w:p>
        </w:tc>
        <w:tc>
          <w:tcPr>
            <w:tcW w:w="81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sz w:val="18"/>
                <w:szCs w:val="18"/>
                <w:lang w:eastAsia="zh-CN"/>
              </w:rPr>
            </w:pPr>
            <w:r>
              <w:rPr>
                <w:rFonts w:hint="eastAsia" w:cs="Times New Roman" w:eastAsiaTheme="minorEastAsia"/>
                <w:color w:val="auto"/>
                <w:sz w:val="18"/>
                <w:szCs w:val="18"/>
                <w:lang w:val="en-US" w:eastAsia="zh-CN"/>
              </w:rPr>
              <w:t>1</w:t>
            </w:r>
          </w:p>
        </w:tc>
        <w:tc>
          <w:tcPr>
            <w:tcW w:w="8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1</w:t>
            </w:r>
          </w:p>
        </w:tc>
        <w:tc>
          <w:tcPr>
            <w:tcW w:w="125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0</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1</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9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三</w:t>
            </w:r>
          </w:p>
        </w:tc>
        <w:tc>
          <w:tcPr>
            <w:tcW w:w="81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20</w:t>
            </w:r>
          </w:p>
        </w:tc>
        <w:tc>
          <w:tcPr>
            <w:tcW w:w="81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lang w:val="en-US" w:eastAsia="zh-CN"/>
              </w:rPr>
            </w:pPr>
            <w:r>
              <w:rPr>
                <w:rFonts w:hint="eastAsia" w:cs="Times New Roman" w:eastAsiaTheme="minorEastAsia"/>
                <w:color w:val="auto"/>
                <w:sz w:val="18"/>
                <w:szCs w:val="18"/>
                <w:lang w:val="en-US" w:eastAsia="zh-CN"/>
              </w:rPr>
              <w:t>18</w:t>
            </w:r>
          </w:p>
        </w:tc>
        <w:tc>
          <w:tcPr>
            <w:tcW w:w="81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sz w:val="18"/>
                <w:szCs w:val="18"/>
                <w:lang w:eastAsia="zh-CN"/>
              </w:rPr>
            </w:pPr>
            <w:r>
              <w:rPr>
                <w:rFonts w:hint="eastAsia" w:cs="Times New Roman" w:eastAsiaTheme="minorEastAsia"/>
                <w:color w:val="auto"/>
                <w:sz w:val="18"/>
                <w:szCs w:val="18"/>
                <w:lang w:val="en-US" w:eastAsia="zh-CN"/>
              </w:rPr>
              <w:t>0</w:t>
            </w:r>
          </w:p>
        </w:tc>
        <w:tc>
          <w:tcPr>
            <w:tcW w:w="8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1</w:t>
            </w:r>
          </w:p>
        </w:tc>
        <w:tc>
          <w:tcPr>
            <w:tcW w:w="125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0</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1</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9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四</w:t>
            </w:r>
          </w:p>
        </w:tc>
        <w:tc>
          <w:tcPr>
            <w:tcW w:w="81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20</w:t>
            </w:r>
          </w:p>
        </w:tc>
        <w:tc>
          <w:tcPr>
            <w:tcW w:w="81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sz w:val="18"/>
                <w:szCs w:val="18"/>
                <w:lang w:eastAsia="zh-CN"/>
              </w:rPr>
            </w:pPr>
            <w:r>
              <w:rPr>
                <w:rFonts w:hint="eastAsia" w:cs="Times New Roman" w:eastAsiaTheme="minorEastAsia"/>
                <w:color w:val="auto"/>
                <w:sz w:val="18"/>
                <w:szCs w:val="18"/>
                <w:lang w:val="en-US" w:eastAsia="zh-CN"/>
              </w:rPr>
              <w:t>0</w:t>
            </w:r>
          </w:p>
        </w:tc>
        <w:tc>
          <w:tcPr>
            <w:tcW w:w="81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lang w:val="en-US" w:eastAsia="zh-CN"/>
              </w:rPr>
            </w:pPr>
            <w:r>
              <w:rPr>
                <w:rFonts w:hint="eastAsia" w:cs="Times New Roman" w:eastAsiaTheme="minorEastAsia"/>
                <w:color w:val="auto"/>
                <w:sz w:val="18"/>
                <w:szCs w:val="18"/>
                <w:lang w:val="en-US" w:eastAsia="zh-CN"/>
              </w:rPr>
              <w:t>18</w:t>
            </w:r>
          </w:p>
        </w:tc>
        <w:tc>
          <w:tcPr>
            <w:tcW w:w="8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1</w:t>
            </w:r>
          </w:p>
        </w:tc>
        <w:tc>
          <w:tcPr>
            <w:tcW w:w="125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0</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1</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9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五</w:t>
            </w:r>
          </w:p>
        </w:tc>
        <w:tc>
          <w:tcPr>
            <w:tcW w:w="81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21</w:t>
            </w:r>
          </w:p>
        </w:tc>
        <w:tc>
          <w:tcPr>
            <w:tcW w:w="81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lang w:val="en-US" w:eastAsia="zh-CN"/>
              </w:rPr>
            </w:pPr>
            <w:r>
              <w:rPr>
                <w:rFonts w:hint="eastAsia" w:cs="Times New Roman" w:eastAsiaTheme="minorEastAsia"/>
                <w:color w:val="auto"/>
                <w:sz w:val="18"/>
                <w:szCs w:val="18"/>
                <w:lang w:val="en-US" w:eastAsia="zh-CN"/>
              </w:rPr>
              <w:t>12</w:t>
            </w:r>
          </w:p>
        </w:tc>
        <w:tc>
          <w:tcPr>
            <w:tcW w:w="81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sz w:val="18"/>
                <w:szCs w:val="18"/>
                <w:lang w:eastAsia="zh-CN"/>
              </w:rPr>
            </w:pPr>
            <w:r>
              <w:rPr>
                <w:rFonts w:hint="eastAsia" w:cs="Times New Roman" w:eastAsiaTheme="minorEastAsia"/>
                <w:color w:val="auto"/>
                <w:sz w:val="18"/>
                <w:szCs w:val="18"/>
                <w:lang w:val="en-US" w:eastAsia="zh-CN"/>
              </w:rPr>
              <w:t>6</w:t>
            </w:r>
          </w:p>
        </w:tc>
        <w:tc>
          <w:tcPr>
            <w:tcW w:w="8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1</w:t>
            </w:r>
          </w:p>
        </w:tc>
        <w:tc>
          <w:tcPr>
            <w:tcW w:w="125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0</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0</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9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六</w:t>
            </w:r>
          </w:p>
        </w:tc>
        <w:tc>
          <w:tcPr>
            <w:tcW w:w="81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19</w:t>
            </w:r>
          </w:p>
        </w:tc>
        <w:tc>
          <w:tcPr>
            <w:tcW w:w="81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0</w:t>
            </w:r>
          </w:p>
        </w:tc>
        <w:tc>
          <w:tcPr>
            <w:tcW w:w="81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18</w:t>
            </w:r>
          </w:p>
        </w:tc>
        <w:tc>
          <w:tcPr>
            <w:tcW w:w="8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0</w:t>
            </w:r>
          </w:p>
        </w:tc>
        <w:tc>
          <w:tcPr>
            <w:tcW w:w="125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1</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0</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49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总计</w:t>
            </w:r>
          </w:p>
        </w:tc>
        <w:tc>
          <w:tcPr>
            <w:tcW w:w="81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120</w:t>
            </w:r>
          </w:p>
        </w:tc>
        <w:tc>
          <w:tcPr>
            <w:tcW w:w="81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color w:val="auto"/>
                <w:sz w:val="18"/>
                <w:szCs w:val="18"/>
                <w:lang w:val="en-US" w:eastAsia="zh-CN"/>
              </w:rPr>
            </w:pPr>
            <w:r>
              <w:rPr>
                <w:rFonts w:hint="eastAsia" w:cs="Times New Roman" w:eastAsiaTheme="minorEastAsia"/>
                <w:b/>
                <w:color w:val="auto"/>
                <w:sz w:val="18"/>
                <w:szCs w:val="18"/>
                <w:lang w:val="en-US" w:eastAsia="zh-CN"/>
              </w:rPr>
              <w:t>63</w:t>
            </w:r>
          </w:p>
        </w:tc>
        <w:tc>
          <w:tcPr>
            <w:tcW w:w="81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color w:val="auto"/>
                <w:sz w:val="18"/>
                <w:szCs w:val="18"/>
                <w:lang w:val="en-US" w:eastAsia="zh-CN"/>
              </w:rPr>
            </w:pPr>
            <w:r>
              <w:rPr>
                <w:rFonts w:hint="eastAsia" w:cs="Times New Roman" w:eastAsiaTheme="minorEastAsia"/>
                <w:b/>
                <w:color w:val="auto"/>
                <w:sz w:val="18"/>
                <w:szCs w:val="18"/>
                <w:lang w:val="en-US" w:eastAsia="zh-CN"/>
              </w:rPr>
              <w:t>43</w:t>
            </w:r>
          </w:p>
        </w:tc>
        <w:tc>
          <w:tcPr>
            <w:tcW w:w="8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5</w:t>
            </w:r>
          </w:p>
        </w:tc>
        <w:tc>
          <w:tcPr>
            <w:tcW w:w="125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2</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5</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2</w:t>
            </w:r>
          </w:p>
        </w:tc>
      </w:tr>
    </w:tbl>
    <w:p>
      <w:pPr>
        <w:keepNext w:val="0"/>
        <w:keepLines w:val="0"/>
        <w:pageBreakBefore w:val="0"/>
        <w:widowControl w:val="0"/>
        <w:kinsoku/>
        <w:wordWrap/>
        <w:overflowPunct/>
        <w:topLinePunct w:val="0"/>
        <w:autoSpaceDE/>
        <w:autoSpaceDN/>
        <w:bidi w:val="0"/>
        <w:adjustRightInd/>
        <w:snapToGrid/>
        <w:spacing w:line="400" w:lineRule="exact"/>
        <w:ind w:firstLine="450" w:firstLineChars="250"/>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注:第5学期各专业统一安排社会实践2周，完成第二课堂教学相关要求。</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（二）课程设置及学时安排</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见附件2：2023级</w:t>
      </w:r>
      <w:r>
        <w:rPr>
          <w:rFonts w:hint="eastAsia" w:ascii="宋体" w:hAnsi="宋体" w:eastAsia="宋体" w:cs="宋体"/>
          <w:color w:val="auto"/>
          <w:kern w:val="0"/>
          <w:sz w:val="21"/>
          <w:szCs w:val="21"/>
          <w:lang w:val="en-US" w:eastAsia="zh-CN"/>
        </w:rPr>
        <w:t>智慧景区开发与管理</w:t>
      </w:r>
      <w:r>
        <w:rPr>
          <w:rFonts w:hint="eastAsia" w:ascii="宋体" w:hAnsi="宋体" w:eastAsia="宋体" w:cs="宋体"/>
          <w:color w:val="auto"/>
          <w:kern w:val="0"/>
          <w:sz w:val="21"/>
          <w:szCs w:val="21"/>
        </w:rPr>
        <w:t>专业课程设置及学时安排表</w:t>
      </w:r>
    </w:p>
    <w:p>
      <w:pPr>
        <w:spacing w:line="400" w:lineRule="exact"/>
        <w:ind w:firstLine="420" w:firstLineChars="200"/>
        <w:jc w:val="left"/>
        <w:rPr>
          <w:rFonts w:hint="eastAsia"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八、师资队伍</w:t>
      </w:r>
    </w:p>
    <w:p>
      <w:pPr>
        <w:spacing w:line="400" w:lineRule="exact"/>
        <w:ind w:firstLine="422" w:firstLineChars="200"/>
        <w:jc w:val="left"/>
        <w:rPr>
          <w:rFonts w:hint="eastAsia" w:ascii="Times New Roman" w:hAnsi="Times New Roman" w:cs="Times New Roman"/>
          <w:b/>
          <w:bCs/>
          <w:color w:val="auto"/>
          <w:kern w:val="0"/>
          <w:sz w:val="21"/>
          <w:szCs w:val="21"/>
          <w:lang w:val="en-US" w:eastAsia="zh-CN"/>
        </w:rPr>
      </w:pPr>
      <w:r>
        <w:rPr>
          <w:rFonts w:hint="eastAsia" w:ascii="Times New Roman" w:hAnsi="Times New Roman" w:cs="Times New Roman"/>
          <w:b/>
          <w:bCs/>
          <w:color w:val="auto"/>
          <w:kern w:val="0"/>
          <w:sz w:val="21"/>
          <w:szCs w:val="21"/>
          <w:lang w:val="en-US" w:eastAsia="zh-CN"/>
        </w:rPr>
        <w:t>1.校内专任教师</w:t>
      </w:r>
    </w:p>
    <w:p>
      <w:pPr>
        <w:spacing w:line="400" w:lineRule="exact"/>
        <w:ind w:firstLine="420" w:firstLineChars="200"/>
        <w:jc w:val="left"/>
        <w:rPr>
          <w:rFonts w:hint="eastAsia"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（1）校内专任教师应具备的条件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有高校教师资格证，旅游管理专业及相关专业硕士及以上学历，能独立完成一门课程以上的授课任务；具有整体课程设计能力和多种教学方法的能力。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（2）校内专任教师现状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目前有专任教师</w:t>
      </w:r>
      <w:r>
        <w:rPr>
          <w:rFonts w:hint="eastAsia" w:ascii="宋体" w:hAnsi="宋体" w:cs="宋体"/>
          <w:b w:val="0"/>
          <w:bCs w:val="0"/>
          <w:color w:val="auto"/>
          <w:kern w:val="0"/>
          <w:sz w:val="21"/>
          <w:szCs w:val="21"/>
          <w:lang w:val="en-US" w:eastAsia="zh-CN"/>
        </w:rPr>
        <w:t>9</w:t>
      </w:r>
      <w:r>
        <w:rPr>
          <w:rFonts w:hint="eastAsia" w:ascii="宋体" w:hAnsi="宋体" w:eastAsia="宋体" w:cs="宋体"/>
          <w:b w:val="0"/>
          <w:bCs w:val="0"/>
          <w:color w:val="auto"/>
          <w:kern w:val="0"/>
          <w:sz w:val="21"/>
          <w:szCs w:val="21"/>
          <w:lang w:val="en-US" w:eastAsia="zh-CN"/>
        </w:rPr>
        <w:t>名，高级职称</w:t>
      </w:r>
      <w:r>
        <w:rPr>
          <w:rFonts w:hint="eastAsia" w:ascii="宋体" w:hAnsi="宋体" w:cs="宋体"/>
          <w:b w:val="0"/>
          <w:bCs w:val="0"/>
          <w:color w:val="auto"/>
          <w:kern w:val="0"/>
          <w:sz w:val="21"/>
          <w:szCs w:val="21"/>
          <w:lang w:val="en-US" w:eastAsia="zh-CN"/>
        </w:rPr>
        <w:t>3</w:t>
      </w:r>
      <w:r>
        <w:rPr>
          <w:rFonts w:hint="eastAsia" w:ascii="宋体" w:hAnsi="宋体" w:eastAsia="宋体" w:cs="宋体"/>
          <w:b w:val="0"/>
          <w:bCs w:val="0"/>
          <w:color w:val="auto"/>
          <w:kern w:val="0"/>
          <w:sz w:val="21"/>
          <w:szCs w:val="21"/>
          <w:lang w:val="en-US" w:eastAsia="zh-CN"/>
        </w:rPr>
        <w:t>名，博士</w:t>
      </w:r>
      <w:r>
        <w:rPr>
          <w:rFonts w:hint="eastAsia" w:ascii="宋体" w:hAnsi="宋体" w:cs="宋体"/>
          <w:b w:val="0"/>
          <w:bCs w:val="0"/>
          <w:color w:val="auto"/>
          <w:kern w:val="0"/>
          <w:sz w:val="21"/>
          <w:szCs w:val="21"/>
          <w:lang w:val="en-US" w:eastAsia="zh-CN"/>
        </w:rPr>
        <w:t>4</w:t>
      </w:r>
      <w:r>
        <w:rPr>
          <w:rFonts w:hint="eastAsia" w:ascii="宋体" w:hAnsi="宋体" w:eastAsia="宋体" w:cs="宋体"/>
          <w:b w:val="0"/>
          <w:bCs w:val="0"/>
          <w:color w:val="auto"/>
          <w:kern w:val="0"/>
          <w:sz w:val="21"/>
          <w:szCs w:val="21"/>
          <w:lang w:val="en-US" w:eastAsia="zh-CN"/>
        </w:rPr>
        <w:t>名，硕士</w:t>
      </w:r>
      <w:r>
        <w:rPr>
          <w:rFonts w:hint="eastAsia" w:ascii="宋体" w:hAnsi="宋体" w:cs="宋体"/>
          <w:b w:val="0"/>
          <w:bCs w:val="0"/>
          <w:color w:val="auto"/>
          <w:kern w:val="0"/>
          <w:sz w:val="21"/>
          <w:szCs w:val="21"/>
          <w:lang w:val="en-US" w:eastAsia="zh-CN"/>
        </w:rPr>
        <w:t>5</w:t>
      </w:r>
      <w:r>
        <w:rPr>
          <w:rFonts w:hint="eastAsia" w:ascii="宋体" w:hAnsi="宋体" w:eastAsia="宋体" w:cs="宋体"/>
          <w:b w:val="0"/>
          <w:bCs w:val="0"/>
          <w:color w:val="auto"/>
          <w:kern w:val="0"/>
          <w:sz w:val="21"/>
          <w:szCs w:val="21"/>
          <w:lang w:val="en-US" w:eastAsia="zh-CN"/>
        </w:rPr>
        <w:t>名。</w:t>
      </w:r>
    </w:p>
    <w:p>
      <w:pPr>
        <w:spacing w:line="400" w:lineRule="exact"/>
        <w:ind w:firstLine="422" w:firstLineChars="200"/>
        <w:jc w:val="left"/>
        <w:rPr>
          <w:rFonts w:hint="eastAsia" w:ascii="Times New Roman" w:hAnsi="Times New Roman" w:cs="Times New Roman"/>
          <w:b/>
          <w:bCs/>
          <w:color w:val="auto"/>
          <w:kern w:val="0"/>
          <w:sz w:val="21"/>
          <w:szCs w:val="21"/>
          <w:lang w:val="en-US" w:eastAsia="zh-CN"/>
        </w:rPr>
      </w:pPr>
      <w:r>
        <w:rPr>
          <w:rFonts w:hint="eastAsia" w:ascii="Times New Roman" w:hAnsi="Times New Roman" w:cs="Times New Roman"/>
          <w:b/>
          <w:bCs/>
          <w:color w:val="auto"/>
          <w:kern w:val="0"/>
          <w:sz w:val="21"/>
          <w:szCs w:val="21"/>
          <w:lang w:val="en-US" w:eastAsia="zh-CN"/>
        </w:rPr>
        <w:t>2.校内兼课教师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（1）校内兼课教师应具备的条件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有高校教师资格证，具有旅游管理相关专业本科或以上学历，本单位工作2年以上，能独立完成一门课程的授课任务，曾任旅游管理专业专任教师者优先。</w:t>
      </w:r>
    </w:p>
    <w:p>
      <w:pPr>
        <w:spacing w:line="400" w:lineRule="exact"/>
        <w:ind w:firstLine="420" w:firstLineChars="200"/>
        <w:jc w:val="left"/>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（2）校内兼课教师现状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iCs/>
          <w:color w:val="auto"/>
          <w:kern w:val="0"/>
          <w:sz w:val="21"/>
          <w:szCs w:val="21"/>
        </w:rPr>
      </w:pPr>
      <w:r>
        <w:rPr>
          <w:rFonts w:hint="eastAsia" w:ascii="宋体" w:hAnsi="宋体" w:eastAsia="宋体" w:cs="宋体"/>
          <w:b w:val="0"/>
          <w:bCs w:val="0"/>
          <w:color w:val="auto"/>
          <w:kern w:val="0"/>
          <w:sz w:val="21"/>
          <w:szCs w:val="21"/>
          <w:lang w:val="en-US" w:eastAsia="zh-CN"/>
        </w:rPr>
        <w:t>目前有校内兼职教师10余名，高级职称6名，博士3名，硕士7名。</w:t>
      </w:r>
    </w:p>
    <w:p>
      <w:pPr>
        <w:spacing w:line="400" w:lineRule="exact"/>
        <w:ind w:firstLine="420" w:firstLineChars="200"/>
        <w:jc w:val="left"/>
        <w:rPr>
          <w:rFonts w:hint="eastAsia"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九、教学条件</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（一）教学设施配置标准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1.教室要求：学校设有本班教室（配备有多媒体设施）、公共教室、多媒体教室等，完全满足理论教学和理实一体化教学要求。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2.校内实训资源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本专业校内建有VR旅游实训室、智慧旅游实训室、茶艺实训室、聚贤阁、包畹蓉京剧博物馆等21个实验实训室，完全能满足专业实训教学要求。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3.校外实训资源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iCs/>
          <w:color w:val="auto"/>
          <w:kern w:val="0"/>
          <w:sz w:val="21"/>
          <w:szCs w:val="21"/>
        </w:rPr>
      </w:pPr>
      <w:r>
        <w:rPr>
          <w:rFonts w:hint="eastAsia" w:ascii="宋体" w:hAnsi="宋体" w:eastAsia="宋体" w:cs="宋体"/>
          <w:b w:val="0"/>
          <w:bCs w:val="0"/>
          <w:color w:val="auto"/>
          <w:kern w:val="0"/>
          <w:sz w:val="21"/>
          <w:szCs w:val="21"/>
          <w:lang w:val="en-US" w:eastAsia="zh-CN"/>
        </w:rPr>
        <w:t>本专业校外建有太湖龙之梦实训基地、迪士尼实训基地、杭州凯蒂猫家园实训基地、南浔古镇实训基地、安吉云上草原实训基地等20余家校外实训基地，完全能满足学生专业实习实训教学要求。</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（二）教学资源配置标准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1.教材选用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本专业所有思想政治课程全部采用国家“马”工程教材和国家规划教材。专业基础课和专业核心课程按照学校教材管理规定，均选择国家规划教材或省重点教材，自选、自编教材均经学校教学委员会立项审批审核通过后使用。备有其它出版社优秀教材和本科教材作参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2.图书文献资源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学校图书馆除有大量藏书和文献资料，还配备有中国知网、</w:t>
      </w:r>
      <w:r>
        <w:rPr>
          <w:rFonts w:hint="eastAsia" w:ascii="宋体" w:hAnsi="宋体" w:eastAsia="宋体" w:cs="宋体"/>
          <w:b w:val="0"/>
          <w:bCs w:val="0"/>
          <w:color w:val="auto"/>
          <w:kern w:val="0"/>
          <w:sz w:val="21"/>
          <w:szCs w:val="21"/>
          <w:lang w:val="en-US" w:eastAsia="zh-CN"/>
        </w:rPr>
        <w:fldChar w:fldCharType="begin"/>
      </w:r>
      <w:r>
        <w:rPr>
          <w:rFonts w:hint="eastAsia" w:ascii="宋体" w:hAnsi="宋体" w:eastAsia="宋体" w:cs="宋体"/>
          <w:b w:val="0"/>
          <w:bCs w:val="0"/>
          <w:color w:val="auto"/>
          <w:kern w:val="0"/>
          <w:sz w:val="21"/>
          <w:szCs w:val="21"/>
          <w:lang w:val="en-US" w:eastAsia="zh-CN"/>
        </w:rPr>
        <w:instrText xml:space="preserve"> HYPERLINK "http://lib.hzvtc.net.cn/content.asp?id=255" \o "超星移动图书馆" \t "_blank" </w:instrText>
      </w:r>
      <w:r>
        <w:rPr>
          <w:rFonts w:hint="eastAsia" w:ascii="宋体" w:hAnsi="宋体" w:eastAsia="宋体" w:cs="宋体"/>
          <w:b w:val="0"/>
          <w:bCs w:val="0"/>
          <w:color w:val="auto"/>
          <w:kern w:val="0"/>
          <w:sz w:val="21"/>
          <w:szCs w:val="21"/>
          <w:lang w:val="en-US" w:eastAsia="zh-CN"/>
        </w:rPr>
        <w:fldChar w:fldCharType="separate"/>
      </w:r>
      <w:r>
        <w:rPr>
          <w:rFonts w:hint="eastAsia" w:ascii="宋体" w:hAnsi="宋体" w:eastAsia="宋体" w:cs="宋体"/>
          <w:b w:val="0"/>
          <w:bCs w:val="0"/>
          <w:color w:val="auto"/>
          <w:kern w:val="0"/>
          <w:sz w:val="21"/>
          <w:szCs w:val="21"/>
          <w:lang w:val="en-US" w:eastAsia="zh-CN"/>
        </w:rPr>
        <w:t>超星移动图书馆</w:t>
      </w:r>
      <w:r>
        <w:rPr>
          <w:rFonts w:hint="eastAsia" w:ascii="宋体" w:hAnsi="宋体" w:eastAsia="宋体" w:cs="宋体"/>
          <w:b w:val="0"/>
          <w:bCs w:val="0"/>
          <w:color w:val="auto"/>
          <w:kern w:val="0"/>
          <w:sz w:val="21"/>
          <w:szCs w:val="21"/>
          <w:lang w:val="en-US" w:eastAsia="zh-CN"/>
        </w:rPr>
        <w:fldChar w:fldCharType="end"/>
      </w:r>
      <w:r>
        <w:rPr>
          <w:rFonts w:hint="eastAsia" w:ascii="宋体" w:hAnsi="宋体" w:eastAsia="宋体" w:cs="宋体"/>
          <w:b w:val="0"/>
          <w:bCs w:val="0"/>
          <w:color w:val="auto"/>
          <w:kern w:val="0"/>
          <w:sz w:val="21"/>
          <w:szCs w:val="21"/>
          <w:lang w:val="en-US" w:eastAsia="zh-CN"/>
        </w:rPr>
        <w:t>、</w:t>
      </w:r>
      <w:r>
        <w:rPr>
          <w:rFonts w:hint="eastAsia" w:ascii="宋体" w:hAnsi="宋体" w:eastAsia="宋体" w:cs="宋体"/>
          <w:b w:val="0"/>
          <w:bCs w:val="0"/>
          <w:color w:val="auto"/>
          <w:kern w:val="0"/>
          <w:sz w:val="21"/>
          <w:szCs w:val="21"/>
          <w:lang w:val="en-US" w:eastAsia="zh-CN"/>
        </w:rPr>
        <w:fldChar w:fldCharType="begin"/>
      </w:r>
      <w:r>
        <w:rPr>
          <w:rFonts w:hint="eastAsia" w:ascii="宋体" w:hAnsi="宋体" w:eastAsia="宋体" w:cs="宋体"/>
          <w:b w:val="0"/>
          <w:bCs w:val="0"/>
          <w:color w:val="auto"/>
          <w:kern w:val="0"/>
          <w:sz w:val="21"/>
          <w:szCs w:val="21"/>
          <w:lang w:val="en-US" w:eastAsia="zh-CN"/>
        </w:rPr>
        <w:instrText xml:space="preserve"> HYPERLINK "http://lib.hzvtc.net.cn/content.asp?id=191" \o "新东方多媒体学习库" \t "_blank" </w:instrText>
      </w:r>
      <w:r>
        <w:rPr>
          <w:rFonts w:hint="eastAsia" w:ascii="宋体" w:hAnsi="宋体" w:eastAsia="宋体" w:cs="宋体"/>
          <w:b w:val="0"/>
          <w:bCs w:val="0"/>
          <w:color w:val="auto"/>
          <w:kern w:val="0"/>
          <w:sz w:val="21"/>
          <w:szCs w:val="21"/>
          <w:lang w:val="en-US" w:eastAsia="zh-CN"/>
        </w:rPr>
        <w:fldChar w:fldCharType="separate"/>
      </w:r>
      <w:r>
        <w:rPr>
          <w:rFonts w:hint="eastAsia" w:ascii="宋体" w:hAnsi="宋体" w:eastAsia="宋体" w:cs="宋体"/>
          <w:b w:val="0"/>
          <w:bCs w:val="0"/>
          <w:color w:val="auto"/>
          <w:kern w:val="0"/>
          <w:sz w:val="21"/>
          <w:szCs w:val="21"/>
          <w:lang w:val="en-US" w:eastAsia="zh-CN"/>
        </w:rPr>
        <w:t>新东方多媒体学习库</w:t>
      </w:r>
      <w:r>
        <w:rPr>
          <w:rFonts w:hint="eastAsia" w:ascii="宋体" w:hAnsi="宋体" w:eastAsia="宋体" w:cs="宋体"/>
          <w:b w:val="0"/>
          <w:bCs w:val="0"/>
          <w:color w:val="auto"/>
          <w:kern w:val="0"/>
          <w:sz w:val="21"/>
          <w:szCs w:val="21"/>
          <w:lang w:val="en-US" w:eastAsia="zh-CN"/>
        </w:rPr>
        <w:fldChar w:fldCharType="end"/>
      </w:r>
      <w:r>
        <w:rPr>
          <w:rFonts w:hint="eastAsia" w:ascii="宋体" w:hAnsi="宋体" w:eastAsia="宋体" w:cs="宋体"/>
          <w:b w:val="0"/>
          <w:bCs w:val="0"/>
          <w:color w:val="auto"/>
          <w:kern w:val="0"/>
          <w:sz w:val="21"/>
          <w:szCs w:val="21"/>
          <w:lang w:val="en-US" w:eastAsia="zh-CN"/>
        </w:rPr>
        <w:t>、</w:t>
      </w:r>
      <w:r>
        <w:rPr>
          <w:rFonts w:hint="eastAsia" w:ascii="宋体" w:hAnsi="宋体" w:eastAsia="宋体" w:cs="宋体"/>
          <w:b w:val="0"/>
          <w:bCs w:val="0"/>
          <w:color w:val="auto"/>
          <w:kern w:val="0"/>
          <w:sz w:val="21"/>
          <w:szCs w:val="21"/>
          <w:lang w:val="en-US" w:eastAsia="zh-CN"/>
        </w:rPr>
        <w:fldChar w:fldCharType="begin"/>
      </w:r>
      <w:r>
        <w:rPr>
          <w:rFonts w:hint="eastAsia" w:ascii="宋体" w:hAnsi="宋体" w:eastAsia="宋体" w:cs="宋体"/>
          <w:b w:val="0"/>
          <w:bCs w:val="0"/>
          <w:color w:val="auto"/>
          <w:kern w:val="0"/>
          <w:sz w:val="21"/>
          <w:szCs w:val="21"/>
          <w:lang w:val="en-US" w:eastAsia="zh-CN"/>
        </w:rPr>
        <w:instrText xml:space="preserve"> HYPERLINK "http://lib.hzvtc.net.cn/content.asp?id=215" \o "博学易知数据库" \t "_blank" </w:instrText>
      </w:r>
      <w:r>
        <w:rPr>
          <w:rFonts w:hint="eastAsia" w:ascii="宋体" w:hAnsi="宋体" w:eastAsia="宋体" w:cs="宋体"/>
          <w:b w:val="0"/>
          <w:bCs w:val="0"/>
          <w:color w:val="auto"/>
          <w:kern w:val="0"/>
          <w:sz w:val="21"/>
          <w:szCs w:val="21"/>
          <w:lang w:val="en-US" w:eastAsia="zh-CN"/>
        </w:rPr>
        <w:fldChar w:fldCharType="separate"/>
      </w:r>
      <w:r>
        <w:rPr>
          <w:rFonts w:hint="eastAsia" w:ascii="宋体" w:hAnsi="宋体" w:eastAsia="宋体" w:cs="宋体"/>
          <w:b w:val="0"/>
          <w:bCs w:val="0"/>
          <w:color w:val="auto"/>
          <w:kern w:val="0"/>
          <w:sz w:val="21"/>
          <w:szCs w:val="21"/>
          <w:lang w:val="en-US" w:eastAsia="zh-CN"/>
        </w:rPr>
        <w:t>博学易知数据库</w:t>
      </w:r>
      <w:r>
        <w:rPr>
          <w:rFonts w:hint="eastAsia" w:ascii="宋体" w:hAnsi="宋体" w:eastAsia="宋体" w:cs="宋体"/>
          <w:b w:val="0"/>
          <w:bCs w:val="0"/>
          <w:color w:val="auto"/>
          <w:kern w:val="0"/>
          <w:sz w:val="21"/>
          <w:szCs w:val="21"/>
          <w:lang w:val="en-US" w:eastAsia="zh-CN"/>
        </w:rPr>
        <w:fldChar w:fldCharType="end"/>
      </w:r>
      <w:r>
        <w:rPr>
          <w:rFonts w:hint="eastAsia" w:ascii="宋体" w:hAnsi="宋体" w:eastAsia="宋体" w:cs="宋体"/>
          <w:b w:val="0"/>
          <w:bCs w:val="0"/>
          <w:color w:val="auto"/>
          <w:kern w:val="0"/>
          <w:sz w:val="21"/>
          <w:szCs w:val="21"/>
          <w:lang w:val="en-US" w:eastAsia="zh-CN"/>
        </w:rPr>
        <w:t>、</w:t>
      </w:r>
      <w:r>
        <w:rPr>
          <w:rFonts w:hint="eastAsia" w:ascii="宋体" w:hAnsi="宋体" w:eastAsia="宋体" w:cs="宋体"/>
          <w:b w:val="0"/>
          <w:bCs w:val="0"/>
          <w:color w:val="auto"/>
          <w:kern w:val="0"/>
          <w:sz w:val="21"/>
          <w:szCs w:val="21"/>
          <w:lang w:val="en-US" w:eastAsia="zh-CN"/>
        </w:rPr>
        <w:fldChar w:fldCharType="begin"/>
      </w:r>
      <w:r>
        <w:rPr>
          <w:rFonts w:hint="eastAsia" w:ascii="宋体" w:hAnsi="宋体" w:eastAsia="宋体" w:cs="宋体"/>
          <w:b w:val="0"/>
          <w:bCs w:val="0"/>
          <w:color w:val="auto"/>
          <w:kern w:val="0"/>
          <w:sz w:val="21"/>
          <w:szCs w:val="21"/>
          <w:lang w:val="en-US" w:eastAsia="zh-CN"/>
        </w:rPr>
        <w:instrText xml:space="preserve"> HYPERLINK "http://lib.hzvtc.net.cn/content.asp?id=318" \o "京东读书电子书阅览室" \t "_blank" </w:instrText>
      </w:r>
      <w:r>
        <w:rPr>
          <w:rFonts w:hint="eastAsia" w:ascii="宋体" w:hAnsi="宋体" w:eastAsia="宋体" w:cs="宋体"/>
          <w:b w:val="0"/>
          <w:bCs w:val="0"/>
          <w:color w:val="auto"/>
          <w:kern w:val="0"/>
          <w:sz w:val="21"/>
          <w:szCs w:val="21"/>
          <w:lang w:val="en-US" w:eastAsia="zh-CN"/>
        </w:rPr>
        <w:fldChar w:fldCharType="separate"/>
      </w:r>
      <w:r>
        <w:rPr>
          <w:rFonts w:hint="eastAsia" w:ascii="宋体" w:hAnsi="宋体" w:eastAsia="宋体" w:cs="宋体"/>
          <w:b w:val="0"/>
          <w:bCs w:val="0"/>
          <w:color w:val="auto"/>
          <w:kern w:val="0"/>
          <w:sz w:val="21"/>
          <w:szCs w:val="21"/>
          <w:lang w:val="en-US" w:eastAsia="zh-CN"/>
        </w:rPr>
        <w:t>京东读书电子书阅览室</w:t>
      </w:r>
      <w:r>
        <w:rPr>
          <w:rFonts w:hint="eastAsia" w:ascii="宋体" w:hAnsi="宋体" w:eastAsia="宋体" w:cs="宋体"/>
          <w:b w:val="0"/>
          <w:bCs w:val="0"/>
          <w:color w:val="auto"/>
          <w:kern w:val="0"/>
          <w:sz w:val="21"/>
          <w:szCs w:val="21"/>
          <w:lang w:val="en-US" w:eastAsia="zh-CN"/>
        </w:rPr>
        <w:fldChar w:fldCharType="end"/>
      </w:r>
      <w:r>
        <w:rPr>
          <w:rFonts w:hint="eastAsia" w:ascii="宋体" w:hAnsi="宋体" w:eastAsia="宋体" w:cs="宋体"/>
          <w:b w:val="0"/>
          <w:bCs w:val="0"/>
          <w:color w:val="auto"/>
          <w:kern w:val="0"/>
          <w:sz w:val="21"/>
          <w:szCs w:val="21"/>
          <w:lang w:val="en-US" w:eastAsia="zh-CN"/>
        </w:rPr>
        <w:t>等服务平台，方便师生借阅、查询。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3.课程网络资源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iCs/>
          <w:color w:val="auto"/>
          <w:kern w:val="0"/>
          <w:sz w:val="21"/>
          <w:szCs w:val="21"/>
        </w:rPr>
      </w:pPr>
      <w:r>
        <w:rPr>
          <w:rFonts w:hint="eastAsia" w:ascii="宋体" w:hAnsi="宋体" w:eastAsia="宋体" w:cs="宋体"/>
          <w:b w:val="0"/>
          <w:bCs w:val="0"/>
          <w:color w:val="auto"/>
          <w:kern w:val="0"/>
          <w:sz w:val="21"/>
          <w:szCs w:val="21"/>
          <w:lang w:val="en-US" w:eastAsia="zh-CN"/>
        </w:rPr>
        <w:t>学校现有410余门网络课程供教师和学生使用（其中自建在线开放课程学习平台拥有课程100余门，在第三方在线平台建有110余门网络课程，购买第三方网络课程200余门）。本专业还拥有国家级精品课和国家精品资源共享课1门。</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（三）教学方法、手段与教学组织形式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iCs/>
          <w:color w:val="auto"/>
          <w:kern w:val="0"/>
          <w:sz w:val="21"/>
          <w:szCs w:val="21"/>
        </w:rPr>
      </w:pPr>
      <w:r>
        <w:rPr>
          <w:rFonts w:hint="eastAsia" w:ascii="宋体" w:hAnsi="宋体" w:eastAsia="宋体" w:cs="宋体"/>
          <w:b w:val="0"/>
          <w:bCs w:val="0"/>
          <w:color w:val="auto"/>
          <w:kern w:val="0"/>
          <w:sz w:val="21"/>
          <w:szCs w:val="21"/>
          <w:lang w:val="en-US" w:eastAsia="zh-CN"/>
        </w:rPr>
        <w:t>依据专业培养目标、课程教学要求，结合课程教学目标和课程特点以及有关学情和教学资源，选择适合的最优化教学法。综合考虑教学效果和教学可操作性等因素，多数课程内容采用讲授法、混合教学法、分组讨论法、案例教学法、任务教学法、现场教学法等多种形式。坚持学中做、做中学，倡导因材施教、因需施教，鼓励创新教学方法和策略。根据内容特点和学生特点，以学生为主体，合理选择各种教学方法，教师起引导作用。在教学组织上充分利用校内理实一体化教室、多媒体网络教学条件和校内外实训基地的资源，采用问题教学、案例教学、任务驱动教学、情境教学、单项操作训练和综合能力考核等方法提高学生的职业能力。学校鼓励信息技术在教育教学中的应用，通过改进教学方式，达成预期教学目标。</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（四）学习评价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改革和完善教学评价标准和方法，强调教学过程的质量监控。对教师评价，采取课前注意教学资料检查评价；课中注重教师、督导随堂听课评价；课后注重学生评教评价，确保教学质量。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iCs/>
          <w:color w:val="auto"/>
          <w:kern w:val="0"/>
          <w:sz w:val="21"/>
          <w:szCs w:val="21"/>
        </w:rPr>
      </w:pPr>
      <w:r>
        <w:rPr>
          <w:rFonts w:hint="eastAsia" w:ascii="宋体" w:hAnsi="宋体" w:eastAsia="宋体" w:cs="宋体"/>
          <w:b w:val="0"/>
          <w:bCs w:val="0"/>
          <w:color w:val="auto"/>
          <w:kern w:val="0"/>
          <w:sz w:val="21"/>
          <w:szCs w:val="21"/>
          <w:lang w:val="en-US" w:eastAsia="zh-CN"/>
        </w:rPr>
        <w:t>对学生评价，兼顾认知、技能、情感等方面，采取观察、口试、笔试、技能操作、职业技能竞赛、职业资格考试及鉴定等评价方式，建立多元化考核、评价方式。考核采用平时考核加期末考试相结合的方式，平时成绩和期末考查成绩均以百分制计算。</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（五）教学管理与质量保障体系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1.成立教育教学管理与质量监控体系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成立由旅游与公共管理学院（湖州国际旅游学院）分管教学院长为组长的教学质量监控小组，在学校教学质量监控体系的框架下，建立符合智慧景区服务与管理专业实际的教学质量监控办法，对专业建设和教学工作实施全过程质量监控，确保人才培养质量的稳步提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2.加强质量管理制度建设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根据学校确定的教学标准，从教学内容选择、课程教学方案设定、教辅资料编写，到实验实训、成绩考核等各个教学环节，严格把握质量标准和工作规范，通过质量监测和评价的循环，确保教学质量稳步提升。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3.实践教学基地的质量检测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iCs/>
          <w:color w:val="auto"/>
          <w:kern w:val="0"/>
          <w:sz w:val="21"/>
          <w:szCs w:val="21"/>
        </w:rPr>
      </w:pPr>
      <w:r>
        <w:rPr>
          <w:rFonts w:hint="eastAsia" w:ascii="宋体" w:hAnsi="宋体" w:eastAsia="宋体" w:cs="宋体"/>
          <w:b w:val="0"/>
          <w:bCs w:val="0"/>
          <w:color w:val="auto"/>
          <w:kern w:val="0"/>
          <w:sz w:val="21"/>
          <w:szCs w:val="21"/>
          <w:lang w:val="en-US" w:eastAsia="zh-CN"/>
        </w:rPr>
        <w:t>为保证实践教学基地的正常运行和规范提高，进一步完善实践教学基地评价系统，建立定期对实践教学基地运行评价的制度，建立实践教学基地正常进入、退出机制，保证实践教学基地能满足专业认知见习、课程实训、综合实训、毕业实习人才培养的需求，确保实践教学质量稳步提高。</w:t>
      </w:r>
    </w:p>
    <w:p>
      <w:pPr>
        <w:spacing w:line="400" w:lineRule="exact"/>
        <w:ind w:firstLine="420" w:firstLineChars="200"/>
        <w:jc w:val="left"/>
        <w:rPr>
          <w:rFonts w:hint="eastAsia"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十、毕业要求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1.学生应获得</w:t>
      </w:r>
      <w:r>
        <w:rPr>
          <w:rFonts w:hint="eastAsia" w:ascii="宋体" w:hAnsi="宋体" w:eastAsia="宋体" w:cs="宋体"/>
          <w:color w:val="auto"/>
          <w:kern w:val="0"/>
          <w:sz w:val="21"/>
          <w:szCs w:val="21"/>
          <w:lang w:val="en-US" w:eastAsia="zh-CN"/>
        </w:rPr>
        <w:t>14</w:t>
      </w: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学分方能毕业，其中：必修课</w:t>
      </w:r>
      <w:r>
        <w:rPr>
          <w:rFonts w:hint="eastAsia" w:ascii="宋体" w:hAnsi="宋体" w:cs="宋体"/>
          <w:color w:val="auto"/>
          <w:kern w:val="0"/>
          <w:sz w:val="21"/>
          <w:szCs w:val="21"/>
          <w:lang w:val="en-US" w:eastAsia="zh-CN"/>
        </w:rPr>
        <w:t>59</w:t>
      </w:r>
      <w:r>
        <w:rPr>
          <w:rFonts w:hint="eastAsia" w:ascii="宋体" w:hAnsi="宋体" w:eastAsia="宋体" w:cs="宋体"/>
          <w:color w:val="auto"/>
          <w:kern w:val="0"/>
          <w:sz w:val="21"/>
          <w:szCs w:val="21"/>
        </w:rPr>
        <w:t>学分、限定选修课</w:t>
      </w:r>
      <w:r>
        <w:rPr>
          <w:rFonts w:hint="eastAsia" w:ascii="宋体" w:hAnsi="宋体" w:cs="宋体"/>
          <w:color w:val="auto"/>
          <w:kern w:val="0"/>
          <w:sz w:val="21"/>
          <w:szCs w:val="21"/>
          <w:lang w:val="en-US" w:eastAsia="zh-CN"/>
        </w:rPr>
        <w:t>36</w:t>
      </w:r>
      <w:r>
        <w:rPr>
          <w:rFonts w:hint="eastAsia" w:ascii="宋体" w:hAnsi="宋体" w:eastAsia="宋体" w:cs="宋体"/>
          <w:color w:val="auto"/>
          <w:kern w:val="0"/>
          <w:sz w:val="21"/>
          <w:szCs w:val="21"/>
        </w:rPr>
        <w:t>学分、任选课</w:t>
      </w:r>
      <w:r>
        <w:rPr>
          <w:rFonts w:hint="eastAsia" w:ascii="宋体" w:hAnsi="宋体" w:cs="宋体"/>
          <w:color w:val="auto"/>
          <w:kern w:val="0"/>
          <w:sz w:val="21"/>
          <w:szCs w:val="21"/>
          <w:lang w:val="en-US" w:eastAsia="zh-CN"/>
        </w:rPr>
        <w:t>22</w:t>
      </w:r>
      <w:r>
        <w:rPr>
          <w:rFonts w:hint="eastAsia" w:ascii="宋体" w:hAnsi="宋体" w:eastAsia="宋体" w:cs="宋体"/>
          <w:color w:val="auto"/>
          <w:kern w:val="0"/>
          <w:sz w:val="21"/>
          <w:szCs w:val="21"/>
        </w:rPr>
        <w:t>学分、综合实践</w:t>
      </w:r>
      <w:r>
        <w:rPr>
          <w:rFonts w:hint="eastAsia" w:ascii="宋体" w:hAnsi="宋体" w:cs="宋体"/>
          <w:color w:val="auto"/>
          <w:kern w:val="0"/>
          <w:sz w:val="21"/>
          <w:szCs w:val="21"/>
          <w:lang w:val="en-US" w:eastAsia="zh-CN"/>
        </w:rPr>
        <w:t>27</w:t>
      </w:r>
      <w:r>
        <w:rPr>
          <w:rFonts w:hint="eastAsia" w:ascii="宋体" w:hAnsi="宋体" w:eastAsia="宋体" w:cs="宋体"/>
          <w:color w:val="auto"/>
          <w:kern w:val="0"/>
          <w:sz w:val="21"/>
          <w:szCs w:val="21"/>
        </w:rPr>
        <w:t>学分</w:t>
      </w:r>
      <w:r>
        <w:rPr>
          <w:rFonts w:hint="eastAsia" w:ascii="宋体" w:hAnsi="宋体" w:cs="宋体"/>
          <w:color w:val="auto"/>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2.国家体质健康测试达标</w:t>
      </w:r>
      <w:r>
        <w:rPr>
          <w:rFonts w:hint="eastAsia" w:ascii="宋体" w:hAnsi="宋体" w:cs="宋体"/>
          <w:color w:val="auto"/>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3.第二课堂学分达</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分以上。</w:t>
      </w:r>
      <w:bookmarkStart w:id="3" w:name="_GoBack"/>
      <w:bookmarkEnd w:id="3"/>
    </w:p>
    <w:p>
      <w:pPr>
        <w:spacing w:line="400" w:lineRule="exact"/>
        <w:ind w:firstLine="420" w:firstLineChars="200"/>
        <w:jc w:val="left"/>
        <w:rPr>
          <w:rFonts w:hint="eastAsia"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十一、学习期间证书获取建议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根据专升本等需要，建议参加英语等级证书和计算机等级证书的考试。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建议考取以下职业技能等级证书增强职业竞争力。</w:t>
      </w:r>
    </w:p>
    <w:p>
      <w:pPr>
        <w:pStyle w:val="2"/>
        <w:keepNext w:val="0"/>
        <w:keepLines w:val="0"/>
        <w:pageBreakBefore w:val="0"/>
        <w:widowControl w:val="0"/>
        <w:kinsoku/>
        <w:wordWrap/>
        <w:overflowPunct/>
        <w:topLinePunct w:val="0"/>
        <w:autoSpaceDE/>
        <w:autoSpaceDN/>
        <w:bidi w:val="0"/>
        <w:adjustRightInd/>
        <w:snapToGrid/>
        <w:spacing w:line="240" w:lineRule="auto"/>
        <w:ind w:firstLine="361" w:firstLineChars="200"/>
        <w:jc w:val="center"/>
        <w:textAlignment w:val="auto"/>
        <w:rPr>
          <w:rFonts w:hint="default" w:ascii="Times New Roman" w:hAnsi="Times New Roman" w:cs="Times New Roman" w:eastAsiaTheme="minorEastAsia"/>
          <w:b/>
          <w:bCs/>
          <w:color w:val="auto"/>
          <w:kern w:val="0"/>
          <w:sz w:val="18"/>
          <w:szCs w:val="18"/>
        </w:rPr>
      </w:pPr>
      <w:r>
        <w:rPr>
          <w:rFonts w:hint="default" w:ascii="Times New Roman" w:hAnsi="Times New Roman" w:cs="Times New Roman" w:eastAsiaTheme="minorEastAsia"/>
          <w:b/>
          <w:bCs/>
          <w:color w:val="auto"/>
          <w:kern w:val="0"/>
          <w:sz w:val="18"/>
          <w:szCs w:val="18"/>
        </w:rPr>
        <w:t>表</w:t>
      </w:r>
      <w:r>
        <w:rPr>
          <w:rFonts w:hint="eastAsia" w:cs="Times New Roman" w:eastAsiaTheme="minorEastAsia"/>
          <w:b/>
          <w:bCs/>
          <w:color w:val="auto"/>
          <w:kern w:val="0"/>
          <w:sz w:val="18"/>
          <w:szCs w:val="18"/>
          <w:lang w:val="en-US" w:eastAsia="zh-CN"/>
        </w:rPr>
        <w:t>9</w:t>
      </w:r>
      <w:r>
        <w:rPr>
          <w:rFonts w:hint="default" w:ascii="Times New Roman" w:hAnsi="Times New Roman" w:cs="Times New Roman" w:eastAsiaTheme="minorEastAsia"/>
          <w:b/>
          <w:bCs/>
          <w:color w:val="auto"/>
          <w:kern w:val="0"/>
          <w:sz w:val="18"/>
          <w:szCs w:val="18"/>
        </w:rPr>
        <w:t xml:space="preserve"> 专业职业资格/技能证书一览表</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80"/>
        <w:gridCol w:w="3011"/>
        <w:gridCol w:w="633"/>
        <w:gridCol w:w="3283"/>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0" w:type="dxa"/>
            <w:shd w:val="clear" w:color="auto" w:fill="F1F1F1" w:themeFill="background1" w:themeFillShade="F2"/>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序号</w:t>
            </w:r>
          </w:p>
        </w:tc>
        <w:tc>
          <w:tcPr>
            <w:tcW w:w="3011" w:type="dxa"/>
            <w:shd w:val="clear" w:color="auto" w:fill="F1F1F1" w:themeFill="background1" w:themeFillShade="F2"/>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证书名称</w:t>
            </w:r>
          </w:p>
        </w:tc>
        <w:tc>
          <w:tcPr>
            <w:tcW w:w="633" w:type="dxa"/>
            <w:shd w:val="clear" w:color="auto" w:fill="F1F1F1" w:themeFill="background1" w:themeFillShade="F2"/>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级别</w:t>
            </w:r>
          </w:p>
        </w:tc>
        <w:tc>
          <w:tcPr>
            <w:tcW w:w="3283" w:type="dxa"/>
            <w:shd w:val="clear" w:color="auto" w:fill="F1F1F1" w:themeFill="background1" w:themeFillShade="F2"/>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颁证机构</w:t>
            </w:r>
          </w:p>
        </w:tc>
        <w:tc>
          <w:tcPr>
            <w:tcW w:w="1015" w:type="dxa"/>
            <w:shd w:val="clear" w:color="auto" w:fill="F1F1F1" w:themeFill="background1" w:themeFillShade="F2"/>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获证要求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30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全国导游员资格证</w:t>
            </w:r>
          </w:p>
        </w:tc>
        <w:tc>
          <w:tcPr>
            <w:tcW w:w="6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初级</w:t>
            </w:r>
          </w:p>
        </w:tc>
        <w:tc>
          <w:tcPr>
            <w:tcW w:w="328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中国文化和旅游部</w:t>
            </w:r>
          </w:p>
        </w:tc>
        <w:tc>
          <w:tcPr>
            <w:tcW w:w="10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30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普通话等级证书</w:t>
            </w:r>
          </w:p>
        </w:tc>
        <w:tc>
          <w:tcPr>
            <w:tcW w:w="6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三甲</w:t>
            </w:r>
          </w:p>
        </w:tc>
        <w:tc>
          <w:tcPr>
            <w:tcW w:w="328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国家语言文字工作委员会</w:t>
            </w:r>
          </w:p>
        </w:tc>
        <w:tc>
          <w:tcPr>
            <w:tcW w:w="10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30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茶艺师资格证</w:t>
            </w:r>
          </w:p>
        </w:tc>
        <w:tc>
          <w:tcPr>
            <w:tcW w:w="6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初级</w:t>
            </w:r>
          </w:p>
        </w:tc>
        <w:tc>
          <w:tcPr>
            <w:tcW w:w="328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人力和社会资源保障部</w:t>
            </w:r>
          </w:p>
        </w:tc>
        <w:tc>
          <w:tcPr>
            <w:tcW w:w="10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30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旅游大数据分析职业技能等级证书</w:t>
            </w:r>
          </w:p>
        </w:tc>
        <w:tc>
          <w:tcPr>
            <w:tcW w:w="6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初级</w:t>
            </w:r>
          </w:p>
        </w:tc>
        <w:tc>
          <w:tcPr>
            <w:tcW w:w="328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上海棕榈电脑系统有限公司</w:t>
            </w:r>
          </w:p>
        </w:tc>
        <w:tc>
          <w:tcPr>
            <w:tcW w:w="10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6</w:t>
            </w:r>
          </w:p>
        </w:tc>
        <w:tc>
          <w:tcPr>
            <w:tcW w:w="30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研学旅行策划与管理证书</w:t>
            </w:r>
          </w:p>
        </w:tc>
        <w:tc>
          <w:tcPr>
            <w:tcW w:w="6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初级</w:t>
            </w:r>
          </w:p>
        </w:tc>
        <w:tc>
          <w:tcPr>
            <w:tcW w:w="328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亲子猫（北京）国际教育科技有限公司</w:t>
            </w:r>
          </w:p>
        </w:tc>
        <w:tc>
          <w:tcPr>
            <w:tcW w:w="10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可选</w:t>
            </w:r>
          </w:p>
        </w:tc>
      </w:tr>
    </w:tbl>
    <w:p>
      <w:pPr>
        <w:rPr>
          <w:color w:val="auto"/>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EFB5B"/>
    <w:multiLevelType w:val="singleLevel"/>
    <w:tmpl w:val="810EFB5B"/>
    <w:lvl w:ilvl="0" w:tentative="0">
      <w:start w:val="1"/>
      <w:numFmt w:val="decimal"/>
      <w:suff w:val="nothing"/>
      <w:lvlText w:val="%1、"/>
      <w:lvlJc w:val="left"/>
    </w:lvl>
  </w:abstractNum>
  <w:abstractNum w:abstractNumId="1">
    <w:nsid w:val="94B4EE53"/>
    <w:multiLevelType w:val="singleLevel"/>
    <w:tmpl w:val="94B4EE53"/>
    <w:lvl w:ilvl="0" w:tentative="0">
      <w:start w:val="2"/>
      <w:numFmt w:val="decimal"/>
      <w:lvlText w:val="%1."/>
      <w:lvlJc w:val="left"/>
      <w:pPr>
        <w:tabs>
          <w:tab w:val="left" w:pos="312"/>
        </w:tabs>
      </w:pPr>
    </w:lvl>
  </w:abstractNum>
  <w:abstractNum w:abstractNumId="2">
    <w:nsid w:val="4B93174F"/>
    <w:multiLevelType w:val="multilevel"/>
    <w:tmpl w:val="4B93174F"/>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3">
    <w:nsid w:val="5008775B"/>
    <w:multiLevelType w:val="multilevel"/>
    <w:tmpl w:val="5008775B"/>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
    <w:nsid w:val="5893423B"/>
    <w:multiLevelType w:val="multilevel"/>
    <w:tmpl w:val="5893423B"/>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5">
    <w:nsid w:val="5FBE42E5"/>
    <w:multiLevelType w:val="multilevel"/>
    <w:tmpl w:val="5FBE42E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
    <w:nsid w:val="61832692"/>
    <w:multiLevelType w:val="multilevel"/>
    <w:tmpl w:val="6183269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
    <w:nsid w:val="7F0E229A"/>
    <w:multiLevelType w:val="multilevel"/>
    <w:tmpl w:val="7F0E229A"/>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num w:numId="1">
    <w:abstractNumId w:val="5"/>
  </w:num>
  <w:num w:numId="2">
    <w:abstractNumId w:val="6"/>
  </w:num>
  <w:num w:numId="3">
    <w:abstractNumId w:val="0"/>
  </w:num>
  <w:num w:numId="4">
    <w:abstractNumId w:val="2"/>
  </w:num>
  <w:num w:numId="5">
    <w:abstractNumId w:val="7"/>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YmM3YzhhNzEwYjY5ZTMwZWJiNWNmYjZmNzI3NDAifQ=="/>
  </w:docVars>
  <w:rsids>
    <w:rsidRoot w:val="7C0375B1"/>
    <w:rsid w:val="0A2C0C94"/>
    <w:rsid w:val="15D64EC1"/>
    <w:rsid w:val="18B33CDE"/>
    <w:rsid w:val="1A9F4874"/>
    <w:rsid w:val="1BF536F1"/>
    <w:rsid w:val="1CF35589"/>
    <w:rsid w:val="1D327E71"/>
    <w:rsid w:val="1D854198"/>
    <w:rsid w:val="1DD925B1"/>
    <w:rsid w:val="1E91687A"/>
    <w:rsid w:val="1F361958"/>
    <w:rsid w:val="224D7026"/>
    <w:rsid w:val="248F5777"/>
    <w:rsid w:val="25F1313C"/>
    <w:rsid w:val="265D77BE"/>
    <w:rsid w:val="2D0F514A"/>
    <w:rsid w:val="2DC0690A"/>
    <w:rsid w:val="32C73B49"/>
    <w:rsid w:val="33876018"/>
    <w:rsid w:val="37405F3D"/>
    <w:rsid w:val="3795561D"/>
    <w:rsid w:val="3C8523ED"/>
    <w:rsid w:val="422B4631"/>
    <w:rsid w:val="499B52EB"/>
    <w:rsid w:val="4A7936D5"/>
    <w:rsid w:val="4C856040"/>
    <w:rsid w:val="516F2806"/>
    <w:rsid w:val="537F63FF"/>
    <w:rsid w:val="55340366"/>
    <w:rsid w:val="55EC1DDF"/>
    <w:rsid w:val="597B17B5"/>
    <w:rsid w:val="64D70856"/>
    <w:rsid w:val="67065B78"/>
    <w:rsid w:val="68775C05"/>
    <w:rsid w:val="6E287D26"/>
    <w:rsid w:val="6F3815A6"/>
    <w:rsid w:val="71C61088"/>
    <w:rsid w:val="78174088"/>
    <w:rsid w:val="7859644F"/>
    <w:rsid w:val="7C037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left"/>
      <w:outlineLvl w:val="0"/>
    </w:pPr>
    <w:rPr>
      <w:rFonts w:asciiTheme="minorAscii" w:hAnsiTheme="minorAscii"/>
      <w:kern w:val="44"/>
      <w:sz w:val="2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style>
  <w:style w:type="paragraph" w:styleId="5">
    <w:name w:val="caption"/>
    <w:basedOn w:val="1"/>
    <w:next w:val="1"/>
    <w:unhideWhenUsed/>
    <w:qFormat/>
    <w:uiPriority w:val="35"/>
    <w:rPr>
      <w:rFonts w:ascii="Cambria" w:hAnsi="Cambria" w:eastAsia="黑体"/>
      <w:sz w:val="20"/>
      <w:szCs w:val="20"/>
    </w:rPr>
  </w:style>
  <w:style w:type="paragraph" w:styleId="6">
    <w:name w:val="Body Text"/>
    <w:basedOn w:val="1"/>
    <w:qFormat/>
    <w:uiPriority w:val="1"/>
    <w:rPr>
      <w:rFonts w:ascii="宋体" w:hAnsi="宋体" w:eastAsia="宋体" w:cs="宋体"/>
      <w:sz w:val="18"/>
      <w:szCs w:val="18"/>
      <w:lang w:val="zh-CN" w:eastAsia="zh-CN" w:bidi="zh-CN"/>
    </w:rPr>
  </w:style>
  <w:style w:type="paragraph" w:styleId="7">
    <w:name w:val="footnote text"/>
    <w:basedOn w:val="1"/>
    <w:semiHidden/>
    <w:unhideWhenUsed/>
    <w:qFormat/>
    <w:uiPriority w:val="99"/>
    <w:pPr>
      <w:snapToGrid w:val="0"/>
      <w:jc w:val="left"/>
    </w:pPr>
    <w:rPr>
      <w:sz w:val="18"/>
    </w:rPr>
  </w:style>
  <w:style w:type="character" w:styleId="10">
    <w:name w:val="footnote reference"/>
    <w:semiHidden/>
    <w:unhideWhenUsed/>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11730</Words>
  <Characters>12112</Characters>
  <Lines>0</Lines>
  <Paragraphs>0</Paragraphs>
  <TotalTime>13</TotalTime>
  <ScaleCrop>false</ScaleCrop>
  <LinksUpToDate>false</LinksUpToDate>
  <CharactersWithSpaces>12152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2023-05-12T02:41:00Z</dcterms:created>
  <dc:creator>钟云平</dc:creator>
  <cp:lastModifiedBy>Administrator</cp:lastModifiedBy>
  <dcterms:modified xsi:type="dcterms:W3CDTF">2023-06-27T08:08:34Z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2EBBD5F222864CC799955C7D1295B927_11</vt:lpwstr>
  </property>
</Properties>
</file>